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990CA7"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bookmarkStart w:id="1" w:name="_GoBack"/>
      <w:bookmarkEnd w:id="1"/>
    </w:p>
    <w:p w14:paraId="238B341B" w14:textId="77777777" w:rsidR="006B65C7" w:rsidRDefault="006B65C7" w:rsidP="006B65C7">
      <w:pPr>
        <w:pStyle w:val="Titlepageinfo"/>
      </w:pPr>
      <w:bookmarkStart w:id="2" w:name="AdditionalArtifacts"/>
      <w:bookmarkEnd w:id="2"/>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77777777" w:rsidR="00F94051" w:rsidRDefault="00F94051" w:rsidP="00F94051">
      <w:pPr>
        <w:pStyle w:val="RelatedWork"/>
      </w:pPr>
      <w:r w:rsidRPr="00F94051">
        <w:rPr>
          <w:i/>
        </w:rPr>
        <w:t xml:space="preserve">STIX Version 1.2.1 Part 12: </w:t>
      </w:r>
      <w:commentRangeStart w:id="3"/>
      <w:commentRangeStart w:id="4"/>
      <w:r w:rsidRPr="00F94051">
        <w:rPr>
          <w:i/>
        </w:rPr>
        <w:t>Extension</w:t>
      </w:r>
      <w:commentRangeEnd w:id="3"/>
      <w:r w:rsidR="00942D23">
        <w:rPr>
          <w:rStyle w:val="CommentReference"/>
        </w:rPr>
        <w:commentReference w:id="3"/>
      </w:r>
      <w:r w:rsidRPr="00F94051">
        <w:rPr>
          <w:i/>
        </w:rPr>
        <w:t>s</w:t>
      </w:r>
      <w:r>
        <w:t>.</w:t>
      </w:r>
      <w:commentRangeEnd w:id="4"/>
      <w:r w:rsidR="00A96D22">
        <w:rPr>
          <w:rStyle w:val="CommentReference"/>
        </w:rPr>
        <w:commentReference w:id="4"/>
      </w:r>
      <w:r>
        <w:t xml:space="preserve">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5" w:name="RelatedWork"/>
      <w:r>
        <w:t>Related work</w:t>
      </w:r>
      <w:bookmarkEnd w:id="5"/>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793581F8" w14:textId="77777777" w:rsidR="00F6031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208121" w:history="1">
        <w:r w:rsidR="00F6031C" w:rsidRPr="00983B62">
          <w:rPr>
            <w:rStyle w:val="Hyperlink"/>
            <w:noProof/>
          </w:rPr>
          <w:t>1</w:t>
        </w:r>
        <w:r w:rsidR="00F6031C">
          <w:rPr>
            <w:rFonts w:asciiTheme="minorHAnsi" w:eastAsiaTheme="minorEastAsia" w:hAnsiTheme="minorHAnsi" w:cstheme="minorBidi"/>
            <w:noProof/>
            <w:sz w:val="22"/>
            <w:szCs w:val="22"/>
          </w:rPr>
          <w:tab/>
        </w:r>
        <w:r w:rsidR="00F6031C" w:rsidRPr="00983B62">
          <w:rPr>
            <w:rStyle w:val="Hyperlink"/>
            <w:noProof/>
          </w:rPr>
          <w:t>Introduction</w:t>
        </w:r>
        <w:r w:rsidR="00F6031C">
          <w:rPr>
            <w:noProof/>
            <w:webHidden/>
          </w:rPr>
          <w:tab/>
        </w:r>
        <w:r w:rsidR="00F6031C">
          <w:rPr>
            <w:noProof/>
            <w:webHidden/>
          </w:rPr>
          <w:fldChar w:fldCharType="begin"/>
        </w:r>
        <w:r w:rsidR="00F6031C">
          <w:rPr>
            <w:noProof/>
            <w:webHidden/>
          </w:rPr>
          <w:instrText xml:space="preserve"> PAGEREF _Toc428208121 \h </w:instrText>
        </w:r>
        <w:r w:rsidR="00F6031C">
          <w:rPr>
            <w:noProof/>
            <w:webHidden/>
          </w:rPr>
        </w:r>
        <w:r w:rsidR="00F6031C">
          <w:rPr>
            <w:noProof/>
            <w:webHidden/>
          </w:rPr>
          <w:fldChar w:fldCharType="separate"/>
        </w:r>
        <w:r w:rsidR="00F6031C">
          <w:rPr>
            <w:noProof/>
            <w:webHidden/>
          </w:rPr>
          <w:t>5</w:t>
        </w:r>
        <w:r w:rsidR="00F6031C">
          <w:rPr>
            <w:noProof/>
            <w:webHidden/>
          </w:rPr>
          <w:fldChar w:fldCharType="end"/>
        </w:r>
      </w:hyperlink>
    </w:p>
    <w:p w14:paraId="14C7FAC9"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22" w:history="1">
        <w:r w:rsidR="00F6031C" w:rsidRPr="00983B62">
          <w:rPr>
            <w:rStyle w:val="Hyperlink"/>
            <w:noProof/>
          </w:rPr>
          <w:t>1.1 Document Conventions</w:t>
        </w:r>
        <w:r w:rsidR="00F6031C">
          <w:rPr>
            <w:noProof/>
            <w:webHidden/>
          </w:rPr>
          <w:tab/>
        </w:r>
        <w:r w:rsidR="00F6031C">
          <w:rPr>
            <w:noProof/>
            <w:webHidden/>
          </w:rPr>
          <w:fldChar w:fldCharType="begin"/>
        </w:r>
        <w:r w:rsidR="00F6031C">
          <w:rPr>
            <w:noProof/>
            <w:webHidden/>
          </w:rPr>
          <w:instrText xml:space="preserve"> PAGEREF _Toc428208122 \h </w:instrText>
        </w:r>
        <w:r w:rsidR="00F6031C">
          <w:rPr>
            <w:noProof/>
            <w:webHidden/>
          </w:rPr>
        </w:r>
        <w:r w:rsidR="00F6031C">
          <w:rPr>
            <w:noProof/>
            <w:webHidden/>
          </w:rPr>
          <w:fldChar w:fldCharType="separate"/>
        </w:r>
        <w:r w:rsidR="00F6031C">
          <w:rPr>
            <w:noProof/>
            <w:webHidden/>
          </w:rPr>
          <w:t>5</w:t>
        </w:r>
        <w:r w:rsidR="00F6031C">
          <w:rPr>
            <w:noProof/>
            <w:webHidden/>
          </w:rPr>
          <w:fldChar w:fldCharType="end"/>
        </w:r>
      </w:hyperlink>
    </w:p>
    <w:p w14:paraId="56ECB5E1"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23" w:history="1">
        <w:r w:rsidR="00F6031C" w:rsidRPr="00983B62">
          <w:rPr>
            <w:rStyle w:val="Hyperlink"/>
            <w:noProof/>
          </w:rPr>
          <w:t>1.1.1 Fonts</w:t>
        </w:r>
        <w:r w:rsidR="00F6031C">
          <w:rPr>
            <w:noProof/>
            <w:webHidden/>
          </w:rPr>
          <w:tab/>
        </w:r>
        <w:r w:rsidR="00F6031C">
          <w:rPr>
            <w:noProof/>
            <w:webHidden/>
          </w:rPr>
          <w:fldChar w:fldCharType="begin"/>
        </w:r>
        <w:r w:rsidR="00F6031C">
          <w:rPr>
            <w:noProof/>
            <w:webHidden/>
          </w:rPr>
          <w:instrText xml:space="preserve"> PAGEREF _Toc428208123 \h </w:instrText>
        </w:r>
        <w:r w:rsidR="00F6031C">
          <w:rPr>
            <w:noProof/>
            <w:webHidden/>
          </w:rPr>
        </w:r>
        <w:r w:rsidR="00F6031C">
          <w:rPr>
            <w:noProof/>
            <w:webHidden/>
          </w:rPr>
          <w:fldChar w:fldCharType="separate"/>
        </w:r>
        <w:r w:rsidR="00F6031C">
          <w:rPr>
            <w:noProof/>
            <w:webHidden/>
          </w:rPr>
          <w:t>5</w:t>
        </w:r>
        <w:r w:rsidR="00F6031C">
          <w:rPr>
            <w:noProof/>
            <w:webHidden/>
          </w:rPr>
          <w:fldChar w:fldCharType="end"/>
        </w:r>
      </w:hyperlink>
    </w:p>
    <w:p w14:paraId="520A4FCE"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24" w:history="1">
        <w:r w:rsidR="00F6031C" w:rsidRPr="00983B62">
          <w:rPr>
            <w:rStyle w:val="Hyperlink"/>
            <w:noProof/>
          </w:rPr>
          <w:t>1.1.2 UML Package References</w:t>
        </w:r>
        <w:r w:rsidR="00F6031C">
          <w:rPr>
            <w:noProof/>
            <w:webHidden/>
          </w:rPr>
          <w:tab/>
        </w:r>
        <w:r w:rsidR="00F6031C">
          <w:rPr>
            <w:noProof/>
            <w:webHidden/>
          </w:rPr>
          <w:fldChar w:fldCharType="begin"/>
        </w:r>
        <w:r w:rsidR="00F6031C">
          <w:rPr>
            <w:noProof/>
            <w:webHidden/>
          </w:rPr>
          <w:instrText xml:space="preserve"> PAGEREF _Toc428208124 \h </w:instrText>
        </w:r>
        <w:r w:rsidR="00F6031C">
          <w:rPr>
            <w:noProof/>
            <w:webHidden/>
          </w:rPr>
        </w:r>
        <w:r w:rsidR="00F6031C">
          <w:rPr>
            <w:noProof/>
            <w:webHidden/>
          </w:rPr>
          <w:fldChar w:fldCharType="separate"/>
        </w:r>
        <w:r w:rsidR="00F6031C">
          <w:rPr>
            <w:noProof/>
            <w:webHidden/>
          </w:rPr>
          <w:t>6</w:t>
        </w:r>
        <w:r w:rsidR="00F6031C">
          <w:rPr>
            <w:noProof/>
            <w:webHidden/>
          </w:rPr>
          <w:fldChar w:fldCharType="end"/>
        </w:r>
      </w:hyperlink>
    </w:p>
    <w:p w14:paraId="70A46E38"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25" w:history="1">
        <w:r w:rsidR="00F6031C" w:rsidRPr="00983B62">
          <w:rPr>
            <w:rStyle w:val="Hyperlink"/>
            <w:noProof/>
          </w:rPr>
          <w:t>1.1.3 UML Diagrams</w:t>
        </w:r>
        <w:r w:rsidR="00F6031C">
          <w:rPr>
            <w:noProof/>
            <w:webHidden/>
          </w:rPr>
          <w:tab/>
        </w:r>
        <w:r w:rsidR="00F6031C">
          <w:rPr>
            <w:noProof/>
            <w:webHidden/>
          </w:rPr>
          <w:fldChar w:fldCharType="begin"/>
        </w:r>
        <w:r w:rsidR="00F6031C">
          <w:rPr>
            <w:noProof/>
            <w:webHidden/>
          </w:rPr>
          <w:instrText xml:space="preserve"> PAGEREF _Toc428208125 \h </w:instrText>
        </w:r>
        <w:r w:rsidR="00F6031C">
          <w:rPr>
            <w:noProof/>
            <w:webHidden/>
          </w:rPr>
        </w:r>
        <w:r w:rsidR="00F6031C">
          <w:rPr>
            <w:noProof/>
            <w:webHidden/>
          </w:rPr>
          <w:fldChar w:fldCharType="separate"/>
        </w:r>
        <w:r w:rsidR="00F6031C">
          <w:rPr>
            <w:noProof/>
            <w:webHidden/>
          </w:rPr>
          <w:t>6</w:t>
        </w:r>
        <w:r w:rsidR="00F6031C">
          <w:rPr>
            <w:noProof/>
            <w:webHidden/>
          </w:rPr>
          <w:fldChar w:fldCharType="end"/>
        </w:r>
      </w:hyperlink>
    </w:p>
    <w:p w14:paraId="6F25591F" w14:textId="77777777" w:rsidR="00F6031C" w:rsidRDefault="00990CA7">
      <w:pPr>
        <w:pStyle w:val="TOC4"/>
        <w:tabs>
          <w:tab w:val="right" w:leader="dot" w:pos="9350"/>
        </w:tabs>
        <w:rPr>
          <w:rFonts w:asciiTheme="minorHAnsi" w:eastAsiaTheme="minorEastAsia" w:hAnsiTheme="minorHAnsi" w:cstheme="minorBidi"/>
          <w:noProof/>
          <w:sz w:val="22"/>
          <w:szCs w:val="22"/>
        </w:rPr>
      </w:pPr>
      <w:hyperlink w:anchor="_Toc428208126" w:history="1">
        <w:r w:rsidR="00F6031C" w:rsidRPr="00983B62">
          <w:rPr>
            <w:rStyle w:val="Hyperlink"/>
            <w:noProof/>
          </w:rPr>
          <w:t>1.1.3.1 Class Properties</w:t>
        </w:r>
        <w:r w:rsidR="00F6031C">
          <w:rPr>
            <w:noProof/>
            <w:webHidden/>
          </w:rPr>
          <w:tab/>
        </w:r>
        <w:r w:rsidR="00F6031C">
          <w:rPr>
            <w:noProof/>
            <w:webHidden/>
          </w:rPr>
          <w:fldChar w:fldCharType="begin"/>
        </w:r>
        <w:r w:rsidR="00F6031C">
          <w:rPr>
            <w:noProof/>
            <w:webHidden/>
          </w:rPr>
          <w:instrText xml:space="preserve"> PAGEREF _Toc428208126 \h </w:instrText>
        </w:r>
        <w:r w:rsidR="00F6031C">
          <w:rPr>
            <w:noProof/>
            <w:webHidden/>
          </w:rPr>
        </w:r>
        <w:r w:rsidR="00F6031C">
          <w:rPr>
            <w:noProof/>
            <w:webHidden/>
          </w:rPr>
          <w:fldChar w:fldCharType="separate"/>
        </w:r>
        <w:r w:rsidR="00F6031C">
          <w:rPr>
            <w:noProof/>
            <w:webHidden/>
          </w:rPr>
          <w:t>6</w:t>
        </w:r>
        <w:r w:rsidR="00F6031C">
          <w:rPr>
            <w:noProof/>
            <w:webHidden/>
          </w:rPr>
          <w:fldChar w:fldCharType="end"/>
        </w:r>
      </w:hyperlink>
    </w:p>
    <w:p w14:paraId="06D8E0FE" w14:textId="77777777" w:rsidR="00F6031C" w:rsidRDefault="00990CA7">
      <w:pPr>
        <w:pStyle w:val="TOC4"/>
        <w:tabs>
          <w:tab w:val="right" w:leader="dot" w:pos="9350"/>
        </w:tabs>
        <w:rPr>
          <w:rFonts w:asciiTheme="minorHAnsi" w:eastAsiaTheme="minorEastAsia" w:hAnsiTheme="minorHAnsi" w:cstheme="minorBidi"/>
          <w:noProof/>
          <w:sz w:val="22"/>
          <w:szCs w:val="22"/>
        </w:rPr>
      </w:pPr>
      <w:hyperlink w:anchor="_Toc428208127" w:history="1">
        <w:r w:rsidR="00F6031C" w:rsidRPr="00983B62">
          <w:rPr>
            <w:rStyle w:val="Hyperlink"/>
            <w:noProof/>
          </w:rPr>
          <w:t>1.1.3.2 Diagram Icons and Arrow Types</w:t>
        </w:r>
        <w:r w:rsidR="00F6031C">
          <w:rPr>
            <w:noProof/>
            <w:webHidden/>
          </w:rPr>
          <w:tab/>
        </w:r>
        <w:r w:rsidR="00F6031C">
          <w:rPr>
            <w:noProof/>
            <w:webHidden/>
          </w:rPr>
          <w:fldChar w:fldCharType="begin"/>
        </w:r>
        <w:r w:rsidR="00F6031C">
          <w:rPr>
            <w:noProof/>
            <w:webHidden/>
          </w:rPr>
          <w:instrText xml:space="preserve"> PAGEREF _Toc428208127 \h </w:instrText>
        </w:r>
        <w:r w:rsidR="00F6031C">
          <w:rPr>
            <w:noProof/>
            <w:webHidden/>
          </w:rPr>
        </w:r>
        <w:r w:rsidR="00F6031C">
          <w:rPr>
            <w:noProof/>
            <w:webHidden/>
          </w:rPr>
          <w:fldChar w:fldCharType="separate"/>
        </w:r>
        <w:r w:rsidR="00F6031C">
          <w:rPr>
            <w:noProof/>
            <w:webHidden/>
          </w:rPr>
          <w:t>6</w:t>
        </w:r>
        <w:r w:rsidR="00F6031C">
          <w:rPr>
            <w:noProof/>
            <w:webHidden/>
          </w:rPr>
          <w:fldChar w:fldCharType="end"/>
        </w:r>
      </w:hyperlink>
    </w:p>
    <w:p w14:paraId="493C24F3" w14:textId="77777777" w:rsidR="00F6031C" w:rsidRDefault="00990CA7">
      <w:pPr>
        <w:pStyle w:val="TOC4"/>
        <w:tabs>
          <w:tab w:val="right" w:leader="dot" w:pos="9350"/>
        </w:tabs>
        <w:rPr>
          <w:rFonts w:asciiTheme="minorHAnsi" w:eastAsiaTheme="minorEastAsia" w:hAnsiTheme="minorHAnsi" w:cstheme="minorBidi"/>
          <w:noProof/>
          <w:sz w:val="22"/>
          <w:szCs w:val="22"/>
        </w:rPr>
      </w:pPr>
      <w:hyperlink w:anchor="_Toc428208128" w:history="1">
        <w:r w:rsidR="00F6031C" w:rsidRPr="00983B62">
          <w:rPr>
            <w:rStyle w:val="Hyperlink"/>
            <w:noProof/>
          </w:rPr>
          <w:t>1.1.3.3 Color Coding</w:t>
        </w:r>
        <w:r w:rsidR="00F6031C">
          <w:rPr>
            <w:noProof/>
            <w:webHidden/>
          </w:rPr>
          <w:tab/>
        </w:r>
        <w:r w:rsidR="00F6031C">
          <w:rPr>
            <w:noProof/>
            <w:webHidden/>
          </w:rPr>
          <w:fldChar w:fldCharType="begin"/>
        </w:r>
        <w:r w:rsidR="00F6031C">
          <w:rPr>
            <w:noProof/>
            <w:webHidden/>
          </w:rPr>
          <w:instrText xml:space="preserve"> PAGEREF _Toc428208128 \h </w:instrText>
        </w:r>
        <w:r w:rsidR="00F6031C">
          <w:rPr>
            <w:noProof/>
            <w:webHidden/>
          </w:rPr>
        </w:r>
        <w:r w:rsidR="00F6031C">
          <w:rPr>
            <w:noProof/>
            <w:webHidden/>
          </w:rPr>
          <w:fldChar w:fldCharType="separate"/>
        </w:r>
        <w:r w:rsidR="00F6031C">
          <w:rPr>
            <w:noProof/>
            <w:webHidden/>
          </w:rPr>
          <w:t>7</w:t>
        </w:r>
        <w:r w:rsidR="00F6031C">
          <w:rPr>
            <w:noProof/>
            <w:webHidden/>
          </w:rPr>
          <w:fldChar w:fldCharType="end"/>
        </w:r>
      </w:hyperlink>
    </w:p>
    <w:p w14:paraId="23624C5B"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29" w:history="1">
        <w:r w:rsidR="00F6031C" w:rsidRPr="00983B62">
          <w:rPr>
            <w:rStyle w:val="Hyperlink"/>
            <w:noProof/>
          </w:rPr>
          <w:t>1.2 Terminology</w:t>
        </w:r>
        <w:r w:rsidR="00F6031C">
          <w:rPr>
            <w:noProof/>
            <w:webHidden/>
          </w:rPr>
          <w:tab/>
        </w:r>
        <w:r w:rsidR="00F6031C">
          <w:rPr>
            <w:noProof/>
            <w:webHidden/>
          </w:rPr>
          <w:fldChar w:fldCharType="begin"/>
        </w:r>
        <w:r w:rsidR="00F6031C">
          <w:rPr>
            <w:noProof/>
            <w:webHidden/>
          </w:rPr>
          <w:instrText xml:space="preserve"> PAGEREF _Toc428208129 \h </w:instrText>
        </w:r>
        <w:r w:rsidR="00F6031C">
          <w:rPr>
            <w:noProof/>
            <w:webHidden/>
          </w:rPr>
        </w:r>
        <w:r w:rsidR="00F6031C">
          <w:rPr>
            <w:noProof/>
            <w:webHidden/>
          </w:rPr>
          <w:fldChar w:fldCharType="separate"/>
        </w:r>
        <w:r w:rsidR="00F6031C">
          <w:rPr>
            <w:noProof/>
            <w:webHidden/>
          </w:rPr>
          <w:t>7</w:t>
        </w:r>
        <w:r w:rsidR="00F6031C">
          <w:rPr>
            <w:noProof/>
            <w:webHidden/>
          </w:rPr>
          <w:fldChar w:fldCharType="end"/>
        </w:r>
      </w:hyperlink>
    </w:p>
    <w:p w14:paraId="0D17FCE1"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30" w:history="1">
        <w:r w:rsidR="00F6031C" w:rsidRPr="00983B62">
          <w:rPr>
            <w:rStyle w:val="Hyperlink"/>
            <w:noProof/>
          </w:rPr>
          <w:t>1.3 Normative References</w:t>
        </w:r>
        <w:r w:rsidR="00F6031C">
          <w:rPr>
            <w:noProof/>
            <w:webHidden/>
          </w:rPr>
          <w:tab/>
        </w:r>
        <w:r w:rsidR="00F6031C">
          <w:rPr>
            <w:noProof/>
            <w:webHidden/>
          </w:rPr>
          <w:fldChar w:fldCharType="begin"/>
        </w:r>
        <w:r w:rsidR="00F6031C">
          <w:rPr>
            <w:noProof/>
            <w:webHidden/>
          </w:rPr>
          <w:instrText xml:space="preserve"> PAGEREF _Toc428208130 \h </w:instrText>
        </w:r>
        <w:r w:rsidR="00F6031C">
          <w:rPr>
            <w:noProof/>
            <w:webHidden/>
          </w:rPr>
        </w:r>
        <w:r w:rsidR="00F6031C">
          <w:rPr>
            <w:noProof/>
            <w:webHidden/>
          </w:rPr>
          <w:fldChar w:fldCharType="separate"/>
        </w:r>
        <w:r w:rsidR="00F6031C">
          <w:rPr>
            <w:noProof/>
            <w:webHidden/>
          </w:rPr>
          <w:t>7</w:t>
        </w:r>
        <w:r w:rsidR="00F6031C">
          <w:rPr>
            <w:noProof/>
            <w:webHidden/>
          </w:rPr>
          <w:fldChar w:fldCharType="end"/>
        </w:r>
      </w:hyperlink>
    </w:p>
    <w:p w14:paraId="6C4CF198"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31" w:history="1">
        <w:r w:rsidR="00F6031C" w:rsidRPr="00983B62">
          <w:rPr>
            <w:rStyle w:val="Hyperlink"/>
            <w:noProof/>
          </w:rPr>
          <w:t>1.4 Non-Normative References</w:t>
        </w:r>
        <w:r w:rsidR="00F6031C">
          <w:rPr>
            <w:noProof/>
            <w:webHidden/>
          </w:rPr>
          <w:tab/>
        </w:r>
        <w:r w:rsidR="00F6031C">
          <w:rPr>
            <w:noProof/>
            <w:webHidden/>
          </w:rPr>
          <w:fldChar w:fldCharType="begin"/>
        </w:r>
        <w:r w:rsidR="00F6031C">
          <w:rPr>
            <w:noProof/>
            <w:webHidden/>
          </w:rPr>
          <w:instrText xml:space="preserve"> PAGEREF _Toc428208131 \h </w:instrText>
        </w:r>
        <w:r w:rsidR="00F6031C">
          <w:rPr>
            <w:noProof/>
            <w:webHidden/>
          </w:rPr>
        </w:r>
        <w:r w:rsidR="00F6031C">
          <w:rPr>
            <w:noProof/>
            <w:webHidden/>
          </w:rPr>
          <w:fldChar w:fldCharType="separate"/>
        </w:r>
        <w:r w:rsidR="00F6031C">
          <w:rPr>
            <w:noProof/>
            <w:webHidden/>
          </w:rPr>
          <w:t>8</w:t>
        </w:r>
        <w:r w:rsidR="00F6031C">
          <w:rPr>
            <w:noProof/>
            <w:webHidden/>
          </w:rPr>
          <w:fldChar w:fldCharType="end"/>
        </w:r>
      </w:hyperlink>
    </w:p>
    <w:p w14:paraId="5EDD345A" w14:textId="77777777" w:rsidR="00F6031C" w:rsidRDefault="00990CA7">
      <w:pPr>
        <w:pStyle w:val="TOC1"/>
        <w:rPr>
          <w:rFonts w:asciiTheme="minorHAnsi" w:eastAsiaTheme="minorEastAsia" w:hAnsiTheme="minorHAnsi" w:cstheme="minorBidi"/>
          <w:noProof/>
          <w:sz w:val="22"/>
          <w:szCs w:val="22"/>
        </w:rPr>
      </w:pPr>
      <w:hyperlink w:anchor="_Toc428208132" w:history="1">
        <w:r w:rsidR="00F6031C" w:rsidRPr="00983B62">
          <w:rPr>
            <w:rStyle w:val="Hyperlink"/>
            <w:noProof/>
          </w:rPr>
          <w:t>2</w:t>
        </w:r>
        <w:r w:rsidR="00F6031C">
          <w:rPr>
            <w:rFonts w:asciiTheme="minorHAnsi" w:eastAsiaTheme="minorEastAsia" w:hAnsiTheme="minorHAnsi" w:cstheme="minorBidi"/>
            <w:noProof/>
            <w:sz w:val="22"/>
            <w:szCs w:val="22"/>
          </w:rPr>
          <w:tab/>
        </w:r>
        <w:r w:rsidR="00F6031C" w:rsidRPr="00983B62">
          <w:rPr>
            <w:rStyle w:val="Hyperlink"/>
            <w:noProof/>
          </w:rPr>
          <w:t>Language Modularity</w:t>
        </w:r>
        <w:r w:rsidR="00F6031C">
          <w:rPr>
            <w:noProof/>
            <w:webHidden/>
          </w:rPr>
          <w:tab/>
        </w:r>
        <w:r w:rsidR="00F6031C">
          <w:rPr>
            <w:noProof/>
            <w:webHidden/>
          </w:rPr>
          <w:fldChar w:fldCharType="begin"/>
        </w:r>
        <w:r w:rsidR="00F6031C">
          <w:rPr>
            <w:noProof/>
            <w:webHidden/>
          </w:rPr>
          <w:instrText xml:space="preserve"> PAGEREF _Toc428208132 \h </w:instrText>
        </w:r>
        <w:r w:rsidR="00F6031C">
          <w:rPr>
            <w:noProof/>
            <w:webHidden/>
          </w:rPr>
        </w:r>
        <w:r w:rsidR="00F6031C">
          <w:rPr>
            <w:noProof/>
            <w:webHidden/>
          </w:rPr>
          <w:fldChar w:fldCharType="separate"/>
        </w:r>
        <w:r w:rsidR="00F6031C">
          <w:rPr>
            <w:noProof/>
            <w:webHidden/>
          </w:rPr>
          <w:t>9</w:t>
        </w:r>
        <w:r w:rsidR="00F6031C">
          <w:rPr>
            <w:noProof/>
            <w:webHidden/>
          </w:rPr>
          <w:fldChar w:fldCharType="end"/>
        </w:r>
      </w:hyperlink>
    </w:p>
    <w:p w14:paraId="672E3C55"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33" w:history="1">
        <w:r w:rsidR="00F6031C" w:rsidRPr="00983B62">
          <w:rPr>
            <w:rStyle w:val="Hyperlink"/>
            <w:noProof/>
          </w:rPr>
          <w:t>2.1 Core Data Model</w:t>
        </w:r>
        <w:r w:rsidR="00F6031C">
          <w:rPr>
            <w:noProof/>
            <w:webHidden/>
          </w:rPr>
          <w:tab/>
        </w:r>
        <w:r w:rsidR="00F6031C">
          <w:rPr>
            <w:noProof/>
            <w:webHidden/>
          </w:rPr>
          <w:fldChar w:fldCharType="begin"/>
        </w:r>
        <w:r w:rsidR="00F6031C">
          <w:rPr>
            <w:noProof/>
            <w:webHidden/>
          </w:rPr>
          <w:instrText xml:space="preserve"> PAGEREF _Toc428208133 \h </w:instrText>
        </w:r>
        <w:r w:rsidR="00F6031C">
          <w:rPr>
            <w:noProof/>
            <w:webHidden/>
          </w:rPr>
        </w:r>
        <w:r w:rsidR="00F6031C">
          <w:rPr>
            <w:noProof/>
            <w:webHidden/>
          </w:rPr>
          <w:fldChar w:fldCharType="separate"/>
        </w:r>
        <w:r w:rsidR="00F6031C">
          <w:rPr>
            <w:noProof/>
            <w:webHidden/>
          </w:rPr>
          <w:t>9</w:t>
        </w:r>
        <w:r w:rsidR="00F6031C">
          <w:rPr>
            <w:noProof/>
            <w:webHidden/>
          </w:rPr>
          <w:fldChar w:fldCharType="end"/>
        </w:r>
      </w:hyperlink>
    </w:p>
    <w:p w14:paraId="73CD6856"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34" w:history="1">
        <w:r w:rsidR="00F6031C" w:rsidRPr="00983B62">
          <w:rPr>
            <w:rStyle w:val="Hyperlink"/>
            <w:noProof/>
          </w:rPr>
          <w:t>2.2 Common Data Model</w:t>
        </w:r>
        <w:r w:rsidR="00F6031C">
          <w:rPr>
            <w:noProof/>
            <w:webHidden/>
          </w:rPr>
          <w:tab/>
        </w:r>
        <w:r w:rsidR="00F6031C">
          <w:rPr>
            <w:noProof/>
            <w:webHidden/>
          </w:rPr>
          <w:fldChar w:fldCharType="begin"/>
        </w:r>
        <w:r w:rsidR="00F6031C">
          <w:rPr>
            <w:noProof/>
            <w:webHidden/>
          </w:rPr>
          <w:instrText xml:space="preserve"> PAGEREF _Toc428208134 \h </w:instrText>
        </w:r>
        <w:r w:rsidR="00F6031C">
          <w:rPr>
            <w:noProof/>
            <w:webHidden/>
          </w:rPr>
        </w:r>
        <w:r w:rsidR="00F6031C">
          <w:rPr>
            <w:noProof/>
            <w:webHidden/>
          </w:rPr>
          <w:fldChar w:fldCharType="separate"/>
        </w:r>
        <w:r w:rsidR="00F6031C">
          <w:rPr>
            <w:noProof/>
            <w:webHidden/>
          </w:rPr>
          <w:t>9</w:t>
        </w:r>
        <w:r w:rsidR="00F6031C">
          <w:rPr>
            <w:noProof/>
            <w:webHidden/>
          </w:rPr>
          <w:fldChar w:fldCharType="end"/>
        </w:r>
      </w:hyperlink>
    </w:p>
    <w:p w14:paraId="2A2894D1"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35" w:history="1">
        <w:r w:rsidR="00F6031C" w:rsidRPr="00983B62">
          <w:rPr>
            <w:rStyle w:val="Hyperlink"/>
            <w:noProof/>
          </w:rPr>
          <w:t>2.3 Component Data Models</w:t>
        </w:r>
        <w:r w:rsidR="00F6031C">
          <w:rPr>
            <w:noProof/>
            <w:webHidden/>
          </w:rPr>
          <w:tab/>
        </w:r>
        <w:r w:rsidR="00F6031C">
          <w:rPr>
            <w:noProof/>
            <w:webHidden/>
          </w:rPr>
          <w:fldChar w:fldCharType="begin"/>
        </w:r>
        <w:r w:rsidR="00F6031C">
          <w:rPr>
            <w:noProof/>
            <w:webHidden/>
          </w:rPr>
          <w:instrText xml:space="preserve"> PAGEREF _Toc428208135 \h </w:instrText>
        </w:r>
        <w:r w:rsidR="00F6031C">
          <w:rPr>
            <w:noProof/>
            <w:webHidden/>
          </w:rPr>
        </w:r>
        <w:r w:rsidR="00F6031C">
          <w:rPr>
            <w:noProof/>
            <w:webHidden/>
          </w:rPr>
          <w:fldChar w:fldCharType="separate"/>
        </w:r>
        <w:r w:rsidR="00F6031C">
          <w:rPr>
            <w:noProof/>
            <w:webHidden/>
          </w:rPr>
          <w:t>9</w:t>
        </w:r>
        <w:r w:rsidR="00F6031C">
          <w:rPr>
            <w:noProof/>
            <w:webHidden/>
          </w:rPr>
          <w:fldChar w:fldCharType="end"/>
        </w:r>
      </w:hyperlink>
    </w:p>
    <w:p w14:paraId="71E1ED37"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36" w:history="1">
        <w:r w:rsidR="00F6031C" w:rsidRPr="00983B62">
          <w:rPr>
            <w:rStyle w:val="Hyperlink"/>
            <w:noProof/>
          </w:rPr>
          <w:t>2.3.1 Observable</w:t>
        </w:r>
        <w:r w:rsidR="00F6031C">
          <w:rPr>
            <w:noProof/>
            <w:webHidden/>
          </w:rPr>
          <w:tab/>
        </w:r>
        <w:r w:rsidR="00F6031C">
          <w:rPr>
            <w:noProof/>
            <w:webHidden/>
          </w:rPr>
          <w:fldChar w:fldCharType="begin"/>
        </w:r>
        <w:r w:rsidR="00F6031C">
          <w:rPr>
            <w:noProof/>
            <w:webHidden/>
          </w:rPr>
          <w:instrText xml:space="preserve"> PAGEREF _Toc428208136 \h </w:instrText>
        </w:r>
        <w:r w:rsidR="00F6031C">
          <w:rPr>
            <w:noProof/>
            <w:webHidden/>
          </w:rPr>
        </w:r>
        <w:r w:rsidR="00F6031C">
          <w:rPr>
            <w:noProof/>
            <w:webHidden/>
          </w:rPr>
          <w:fldChar w:fldCharType="separate"/>
        </w:r>
        <w:r w:rsidR="00F6031C">
          <w:rPr>
            <w:noProof/>
            <w:webHidden/>
          </w:rPr>
          <w:t>10</w:t>
        </w:r>
        <w:r w:rsidR="00F6031C">
          <w:rPr>
            <w:noProof/>
            <w:webHidden/>
          </w:rPr>
          <w:fldChar w:fldCharType="end"/>
        </w:r>
      </w:hyperlink>
    </w:p>
    <w:p w14:paraId="03564847"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37" w:history="1">
        <w:r w:rsidR="00F6031C" w:rsidRPr="00983B62">
          <w:rPr>
            <w:rStyle w:val="Hyperlink"/>
            <w:noProof/>
          </w:rPr>
          <w:t>2.3.2 Indicator</w:t>
        </w:r>
        <w:r w:rsidR="00F6031C">
          <w:rPr>
            <w:noProof/>
            <w:webHidden/>
          </w:rPr>
          <w:tab/>
        </w:r>
        <w:r w:rsidR="00F6031C">
          <w:rPr>
            <w:noProof/>
            <w:webHidden/>
          </w:rPr>
          <w:fldChar w:fldCharType="begin"/>
        </w:r>
        <w:r w:rsidR="00F6031C">
          <w:rPr>
            <w:noProof/>
            <w:webHidden/>
          </w:rPr>
          <w:instrText xml:space="preserve"> PAGEREF _Toc428208137 \h </w:instrText>
        </w:r>
        <w:r w:rsidR="00F6031C">
          <w:rPr>
            <w:noProof/>
            <w:webHidden/>
          </w:rPr>
        </w:r>
        <w:r w:rsidR="00F6031C">
          <w:rPr>
            <w:noProof/>
            <w:webHidden/>
          </w:rPr>
          <w:fldChar w:fldCharType="separate"/>
        </w:r>
        <w:r w:rsidR="00F6031C">
          <w:rPr>
            <w:noProof/>
            <w:webHidden/>
          </w:rPr>
          <w:t>10</w:t>
        </w:r>
        <w:r w:rsidR="00F6031C">
          <w:rPr>
            <w:noProof/>
            <w:webHidden/>
          </w:rPr>
          <w:fldChar w:fldCharType="end"/>
        </w:r>
      </w:hyperlink>
    </w:p>
    <w:p w14:paraId="201F717C"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38" w:history="1">
        <w:r w:rsidR="00F6031C" w:rsidRPr="00983B62">
          <w:rPr>
            <w:rStyle w:val="Hyperlink"/>
            <w:noProof/>
          </w:rPr>
          <w:t>2.3.3 Incident</w:t>
        </w:r>
        <w:r w:rsidR="00F6031C">
          <w:rPr>
            <w:noProof/>
            <w:webHidden/>
          </w:rPr>
          <w:tab/>
        </w:r>
        <w:r w:rsidR="00F6031C">
          <w:rPr>
            <w:noProof/>
            <w:webHidden/>
          </w:rPr>
          <w:fldChar w:fldCharType="begin"/>
        </w:r>
        <w:r w:rsidR="00F6031C">
          <w:rPr>
            <w:noProof/>
            <w:webHidden/>
          </w:rPr>
          <w:instrText xml:space="preserve"> PAGEREF _Toc428208138 \h </w:instrText>
        </w:r>
        <w:r w:rsidR="00F6031C">
          <w:rPr>
            <w:noProof/>
            <w:webHidden/>
          </w:rPr>
        </w:r>
        <w:r w:rsidR="00F6031C">
          <w:rPr>
            <w:noProof/>
            <w:webHidden/>
          </w:rPr>
          <w:fldChar w:fldCharType="separate"/>
        </w:r>
        <w:r w:rsidR="00F6031C">
          <w:rPr>
            <w:noProof/>
            <w:webHidden/>
          </w:rPr>
          <w:t>10</w:t>
        </w:r>
        <w:r w:rsidR="00F6031C">
          <w:rPr>
            <w:noProof/>
            <w:webHidden/>
          </w:rPr>
          <w:fldChar w:fldCharType="end"/>
        </w:r>
      </w:hyperlink>
    </w:p>
    <w:p w14:paraId="71516388"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39" w:history="1">
        <w:r w:rsidR="00F6031C" w:rsidRPr="00983B62">
          <w:rPr>
            <w:rStyle w:val="Hyperlink"/>
            <w:noProof/>
          </w:rPr>
          <w:t>2.3.4 Tactic, Techniques and Procedures (TTP)</w:t>
        </w:r>
        <w:r w:rsidR="00F6031C">
          <w:rPr>
            <w:noProof/>
            <w:webHidden/>
          </w:rPr>
          <w:tab/>
        </w:r>
        <w:r w:rsidR="00F6031C">
          <w:rPr>
            <w:noProof/>
            <w:webHidden/>
          </w:rPr>
          <w:fldChar w:fldCharType="begin"/>
        </w:r>
        <w:r w:rsidR="00F6031C">
          <w:rPr>
            <w:noProof/>
            <w:webHidden/>
          </w:rPr>
          <w:instrText xml:space="preserve"> PAGEREF _Toc428208139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5A644F2B"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40" w:history="1">
        <w:r w:rsidR="00F6031C" w:rsidRPr="00983B62">
          <w:rPr>
            <w:rStyle w:val="Hyperlink"/>
            <w:noProof/>
          </w:rPr>
          <w:t>2.3.5 Campaign</w:t>
        </w:r>
        <w:r w:rsidR="00F6031C">
          <w:rPr>
            <w:noProof/>
            <w:webHidden/>
          </w:rPr>
          <w:tab/>
        </w:r>
        <w:r w:rsidR="00F6031C">
          <w:rPr>
            <w:noProof/>
            <w:webHidden/>
          </w:rPr>
          <w:fldChar w:fldCharType="begin"/>
        </w:r>
        <w:r w:rsidR="00F6031C">
          <w:rPr>
            <w:noProof/>
            <w:webHidden/>
          </w:rPr>
          <w:instrText xml:space="preserve"> PAGEREF _Toc428208140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553DFAB6"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41" w:history="1">
        <w:r w:rsidR="00F6031C" w:rsidRPr="00983B62">
          <w:rPr>
            <w:rStyle w:val="Hyperlink"/>
            <w:noProof/>
          </w:rPr>
          <w:t>2.3.6 Threat Actor</w:t>
        </w:r>
        <w:r w:rsidR="00F6031C">
          <w:rPr>
            <w:noProof/>
            <w:webHidden/>
          </w:rPr>
          <w:tab/>
        </w:r>
        <w:r w:rsidR="00F6031C">
          <w:rPr>
            <w:noProof/>
            <w:webHidden/>
          </w:rPr>
          <w:fldChar w:fldCharType="begin"/>
        </w:r>
        <w:r w:rsidR="00F6031C">
          <w:rPr>
            <w:noProof/>
            <w:webHidden/>
          </w:rPr>
          <w:instrText xml:space="preserve"> PAGEREF _Toc428208141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45C80D01"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42" w:history="1">
        <w:r w:rsidR="00F6031C" w:rsidRPr="00983B62">
          <w:rPr>
            <w:rStyle w:val="Hyperlink"/>
            <w:noProof/>
          </w:rPr>
          <w:t>2.3.7 Exploit Target</w:t>
        </w:r>
        <w:r w:rsidR="00F6031C">
          <w:rPr>
            <w:noProof/>
            <w:webHidden/>
          </w:rPr>
          <w:tab/>
        </w:r>
        <w:r w:rsidR="00F6031C">
          <w:rPr>
            <w:noProof/>
            <w:webHidden/>
          </w:rPr>
          <w:fldChar w:fldCharType="begin"/>
        </w:r>
        <w:r w:rsidR="00F6031C">
          <w:rPr>
            <w:noProof/>
            <w:webHidden/>
          </w:rPr>
          <w:instrText xml:space="preserve"> PAGEREF _Toc428208142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26A7C6FE"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43" w:history="1">
        <w:r w:rsidR="00F6031C" w:rsidRPr="00983B62">
          <w:rPr>
            <w:rStyle w:val="Hyperlink"/>
            <w:noProof/>
          </w:rPr>
          <w:t>2.3.8 Course of Action (COA)</w:t>
        </w:r>
        <w:r w:rsidR="00F6031C">
          <w:rPr>
            <w:noProof/>
            <w:webHidden/>
          </w:rPr>
          <w:tab/>
        </w:r>
        <w:r w:rsidR="00F6031C">
          <w:rPr>
            <w:noProof/>
            <w:webHidden/>
          </w:rPr>
          <w:fldChar w:fldCharType="begin"/>
        </w:r>
        <w:r w:rsidR="00F6031C">
          <w:rPr>
            <w:noProof/>
            <w:webHidden/>
          </w:rPr>
          <w:instrText xml:space="preserve"> PAGEREF _Toc428208143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0D89B9C5"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44" w:history="1">
        <w:r w:rsidR="00F6031C" w:rsidRPr="00983B62">
          <w:rPr>
            <w:rStyle w:val="Hyperlink"/>
            <w:noProof/>
          </w:rPr>
          <w:t>2.3.9 Report</w:t>
        </w:r>
        <w:r w:rsidR="00F6031C">
          <w:rPr>
            <w:noProof/>
            <w:webHidden/>
          </w:rPr>
          <w:tab/>
        </w:r>
        <w:r w:rsidR="00F6031C">
          <w:rPr>
            <w:noProof/>
            <w:webHidden/>
          </w:rPr>
          <w:fldChar w:fldCharType="begin"/>
        </w:r>
        <w:r w:rsidR="00F6031C">
          <w:rPr>
            <w:noProof/>
            <w:webHidden/>
          </w:rPr>
          <w:instrText xml:space="preserve"> PAGEREF _Toc428208144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77A87695"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45" w:history="1">
        <w:r w:rsidR="00F6031C" w:rsidRPr="00983B62">
          <w:rPr>
            <w:rStyle w:val="Hyperlink"/>
            <w:noProof/>
          </w:rPr>
          <w:t>2.4 Data Marking Data Model</w:t>
        </w:r>
        <w:r w:rsidR="00F6031C">
          <w:rPr>
            <w:noProof/>
            <w:webHidden/>
          </w:rPr>
          <w:tab/>
        </w:r>
        <w:r w:rsidR="00F6031C">
          <w:rPr>
            <w:noProof/>
            <w:webHidden/>
          </w:rPr>
          <w:fldChar w:fldCharType="begin"/>
        </w:r>
        <w:r w:rsidR="00F6031C">
          <w:rPr>
            <w:noProof/>
            <w:webHidden/>
          </w:rPr>
          <w:instrText xml:space="preserve"> PAGEREF _Toc428208145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14DA1EEE"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46" w:history="1">
        <w:r w:rsidR="00F6031C" w:rsidRPr="00983B62">
          <w:rPr>
            <w:rStyle w:val="Hyperlink"/>
            <w:noProof/>
          </w:rPr>
          <w:t>2.5 Default Extensions Data Model</w:t>
        </w:r>
        <w:r w:rsidR="00F6031C">
          <w:rPr>
            <w:noProof/>
            <w:webHidden/>
          </w:rPr>
          <w:tab/>
        </w:r>
        <w:r w:rsidR="00F6031C">
          <w:rPr>
            <w:noProof/>
            <w:webHidden/>
          </w:rPr>
          <w:fldChar w:fldCharType="begin"/>
        </w:r>
        <w:r w:rsidR="00F6031C">
          <w:rPr>
            <w:noProof/>
            <w:webHidden/>
          </w:rPr>
          <w:instrText xml:space="preserve"> PAGEREF _Toc428208146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0EE13A0D"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47" w:history="1">
        <w:r w:rsidR="00F6031C" w:rsidRPr="00983B62">
          <w:rPr>
            <w:rStyle w:val="Hyperlink"/>
            <w:noProof/>
          </w:rPr>
          <w:t>2.6 Default Vocabularies</w:t>
        </w:r>
        <w:r w:rsidR="00F6031C">
          <w:rPr>
            <w:noProof/>
            <w:webHidden/>
          </w:rPr>
          <w:tab/>
        </w:r>
        <w:r w:rsidR="00F6031C">
          <w:rPr>
            <w:noProof/>
            <w:webHidden/>
          </w:rPr>
          <w:fldChar w:fldCharType="begin"/>
        </w:r>
        <w:r w:rsidR="00F6031C">
          <w:rPr>
            <w:noProof/>
            <w:webHidden/>
          </w:rPr>
          <w:instrText xml:space="preserve"> PAGEREF _Toc428208147 \h </w:instrText>
        </w:r>
        <w:r w:rsidR="00F6031C">
          <w:rPr>
            <w:noProof/>
            <w:webHidden/>
          </w:rPr>
        </w:r>
        <w:r w:rsidR="00F6031C">
          <w:rPr>
            <w:noProof/>
            <w:webHidden/>
          </w:rPr>
          <w:fldChar w:fldCharType="separate"/>
        </w:r>
        <w:r w:rsidR="00F6031C">
          <w:rPr>
            <w:noProof/>
            <w:webHidden/>
          </w:rPr>
          <w:t>13</w:t>
        </w:r>
        <w:r w:rsidR="00F6031C">
          <w:rPr>
            <w:noProof/>
            <w:webHidden/>
          </w:rPr>
          <w:fldChar w:fldCharType="end"/>
        </w:r>
      </w:hyperlink>
    </w:p>
    <w:p w14:paraId="717CB0ED"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48" w:history="1">
        <w:r w:rsidR="00F6031C" w:rsidRPr="00983B62">
          <w:rPr>
            <w:rStyle w:val="Hyperlink"/>
            <w:noProof/>
          </w:rPr>
          <w:t>2.7 Basic Data Types</w:t>
        </w:r>
        <w:r w:rsidR="00F6031C">
          <w:rPr>
            <w:noProof/>
            <w:webHidden/>
          </w:rPr>
          <w:tab/>
        </w:r>
        <w:r w:rsidR="00F6031C">
          <w:rPr>
            <w:noProof/>
            <w:webHidden/>
          </w:rPr>
          <w:fldChar w:fldCharType="begin"/>
        </w:r>
        <w:r w:rsidR="00F6031C">
          <w:rPr>
            <w:noProof/>
            <w:webHidden/>
          </w:rPr>
          <w:instrText xml:space="preserve"> PAGEREF _Toc428208148 \h </w:instrText>
        </w:r>
        <w:r w:rsidR="00F6031C">
          <w:rPr>
            <w:noProof/>
            <w:webHidden/>
          </w:rPr>
        </w:r>
        <w:r w:rsidR="00F6031C">
          <w:rPr>
            <w:noProof/>
            <w:webHidden/>
          </w:rPr>
          <w:fldChar w:fldCharType="separate"/>
        </w:r>
        <w:r w:rsidR="00F6031C">
          <w:rPr>
            <w:noProof/>
            <w:webHidden/>
          </w:rPr>
          <w:t>13</w:t>
        </w:r>
        <w:r w:rsidR="00F6031C">
          <w:rPr>
            <w:noProof/>
            <w:webHidden/>
          </w:rPr>
          <w:fldChar w:fldCharType="end"/>
        </w:r>
      </w:hyperlink>
    </w:p>
    <w:p w14:paraId="579C7ABE"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49" w:history="1">
        <w:r w:rsidR="00F6031C" w:rsidRPr="00983B62">
          <w:rPr>
            <w:rStyle w:val="Hyperlink"/>
            <w:noProof/>
          </w:rPr>
          <w:t>2.7.1 Common Basic Data Types</w:t>
        </w:r>
        <w:r w:rsidR="00F6031C">
          <w:rPr>
            <w:noProof/>
            <w:webHidden/>
          </w:rPr>
          <w:tab/>
        </w:r>
        <w:r w:rsidR="00F6031C">
          <w:rPr>
            <w:noProof/>
            <w:webHidden/>
          </w:rPr>
          <w:fldChar w:fldCharType="begin"/>
        </w:r>
        <w:r w:rsidR="00F6031C">
          <w:rPr>
            <w:noProof/>
            <w:webHidden/>
          </w:rPr>
          <w:instrText xml:space="preserve"> PAGEREF _Toc428208149 \h </w:instrText>
        </w:r>
        <w:r w:rsidR="00F6031C">
          <w:rPr>
            <w:noProof/>
            <w:webHidden/>
          </w:rPr>
        </w:r>
        <w:r w:rsidR="00F6031C">
          <w:rPr>
            <w:noProof/>
            <w:webHidden/>
          </w:rPr>
          <w:fldChar w:fldCharType="separate"/>
        </w:r>
        <w:r w:rsidR="00F6031C">
          <w:rPr>
            <w:noProof/>
            <w:webHidden/>
          </w:rPr>
          <w:t>13</w:t>
        </w:r>
        <w:r w:rsidR="00F6031C">
          <w:rPr>
            <w:noProof/>
            <w:webHidden/>
          </w:rPr>
          <w:fldChar w:fldCharType="end"/>
        </w:r>
      </w:hyperlink>
    </w:p>
    <w:p w14:paraId="291DB499" w14:textId="77777777" w:rsidR="00F6031C" w:rsidRDefault="00990CA7">
      <w:pPr>
        <w:pStyle w:val="TOC3"/>
        <w:tabs>
          <w:tab w:val="right" w:leader="dot" w:pos="9350"/>
        </w:tabs>
        <w:rPr>
          <w:rFonts w:asciiTheme="minorHAnsi" w:eastAsiaTheme="minorEastAsia" w:hAnsiTheme="minorHAnsi" w:cstheme="minorBidi"/>
          <w:noProof/>
          <w:sz w:val="22"/>
          <w:szCs w:val="22"/>
        </w:rPr>
      </w:pPr>
      <w:hyperlink w:anchor="_Toc428208150" w:history="1">
        <w:r w:rsidR="00F6031C" w:rsidRPr="00983B62">
          <w:rPr>
            <w:rStyle w:val="Hyperlink"/>
            <w:noProof/>
          </w:rPr>
          <w:t>2.7.2 Specializations of the BasicString Data Type</w:t>
        </w:r>
        <w:r w:rsidR="00F6031C">
          <w:rPr>
            <w:noProof/>
            <w:webHidden/>
          </w:rPr>
          <w:tab/>
        </w:r>
        <w:r w:rsidR="00F6031C">
          <w:rPr>
            <w:noProof/>
            <w:webHidden/>
          </w:rPr>
          <w:fldChar w:fldCharType="begin"/>
        </w:r>
        <w:r w:rsidR="00F6031C">
          <w:rPr>
            <w:noProof/>
            <w:webHidden/>
          </w:rPr>
          <w:instrText xml:space="preserve"> PAGEREF _Toc428208150 \h </w:instrText>
        </w:r>
        <w:r w:rsidR="00F6031C">
          <w:rPr>
            <w:noProof/>
            <w:webHidden/>
          </w:rPr>
        </w:r>
        <w:r w:rsidR="00F6031C">
          <w:rPr>
            <w:noProof/>
            <w:webHidden/>
          </w:rPr>
          <w:fldChar w:fldCharType="separate"/>
        </w:r>
        <w:r w:rsidR="00F6031C">
          <w:rPr>
            <w:noProof/>
            <w:webHidden/>
          </w:rPr>
          <w:t>14</w:t>
        </w:r>
        <w:r w:rsidR="00F6031C">
          <w:rPr>
            <w:noProof/>
            <w:webHidden/>
          </w:rPr>
          <w:fldChar w:fldCharType="end"/>
        </w:r>
      </w:hyperlink>
    </w:p>
    <w:p w14:paraId="73A628CC" w14:textId="77777777" w:rsidR="00F6031C" w:rsidRDefault="00990CA7">
      <w:pPr>
        <w:pStyle w:val="TOC1"/>
        <w:rPr>
          <w:rFonts w:asciiTheme="minorHAnsi" w:eastAsiaTheme="minorEastAsia" w:hAnsiTheme="minorHAnsi" w:cstheme="minorBidi"/>
          <w:noProof/>
          <w:sz w:val="22"/>
          <w:szCs w:val="22"/>
        </w:rPr>
      </w:pPr>
      <w:hyperlink w:anchor="_Toc428208151" w:history="1">
        <w:r w:rsidR="00F6031C" w:rsidRPr="00983B62">
          <w:rPr>
            <w:rStyle w:val="Hyperlink"/>
            <w:noProof/>
          </w:rPr>
          <w:t>3</w:t>
        </w:r>
        <w:r w:rsidR="00F6031C">
          <w:rPr>
            <w:rFonts w:asciiTheme="minorHAnsi" w:eastAsiaTheme="minorEastAsia" w:hAnsiTheme="minorHAnsi" w:cstheme="minorBidi"/>
            <w:noProof/>
            <w:sz w:val="22"/>
            <w:szCs w:val="22"/>
          </w:rPr>
          <w:tab/>
        </w:r>
        <w:r w:rsidR="00F6031C" w:rsidRPr="00983B62">
          <w:rPr>
            <w:rStyle w:val="Hyperlink"/>
            <w:noProof/>
          </w:rPr>
          <w:t>Data Model Conventions</w:t>
        </w:r>
        <w:r w:rsidR="00F6031C">
          <w:rPr>
            <w:noProof/>
            <w:webHidden/>
          </w:rPr>
          <w:tab/>
        </w:r>
        <w:r w:rsidR="00F6031C">
          <w:rPr>
            <w:noProof/>
            <w:webHidden/>
          </w:rPr>
          <w:fldChar w:fldCharType="begin"/>
        </w:r>
        <w:r w:rsidR="00F6031C">
          <w:rPr>
            <w:noProof/>
            <w:webHidden/>
          </w:rPr>
          <w:instrText xml:space="preserve"> PAGEREF _Toc428208151 \h </w:instrText>
        </w:r>
        <w:r w:rsidR="00F6031C">
          <w:rPr>
            <w:noProof/>
            <w:webHidden/>
          </w:rPr>
        </w:r>
        <w:r w:rsidR="00F6031C">
          <w:rPr>
            <w:noProof/>
            <w:webHidden/>
          </w:rPr>
          <w:fldChar w:fldCharType="separate"/>
        </w:r>
        <w:r w:rsidR="00F6031C">
          <w:rPr>
            <w:noProof/>
            <w:webHidden/>
          </w:rPr>
          <w:t>16</w:t>
        </w:r>
        <w:r w:rsidR="00F6031C">
          <w:rPr>
            <w:noProof/>
            <w:webHidden/>
          </w:rPr>
          <w:fldChar w:fldCharType="end"/>
        </w:r>
      </w:hyperlink>
    </w:p>
    <w:p w14:paraId="4878046F"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52" w:history="1">
        <w:r w:rsidR="00F6031C" w:rsidRPr="00983B62">
          <w:rPr>
            <w:rStyle w:val="Hyperlink"/>
            <w:noProof/>
          </w:rPr>
          <w:t>3.1 UML Packages</w:t>
        </w:r>
        <w:r w:rsidR="00F6031C">
          <w:rPr>
            <w:noProof/>
            <w:webHidden/>
          </w:rPr>
          <w:tab/>
        </w:r>
        <w:r w:rsidR="00F6031C">
          <w:rPr>
            <w:noProof/>
            <w:webHidden/>
          </w:rPr>
          <w:fldChar w:fldCharType="begin"/>
        </w:r>
        <w:r w:rsidR="00F6031C">
          <w:rPr>
            <w:noProof/>
            <w:webHidden/>
          </w:rPr>
          <w:instrText xml:space="preserve"> PAGEREF _Toc428208152 \h </w:instrText>
        </w:r>
        <w:r w:rsidR="00F6031C">
          <w:rPr>
            <w:noProof/>
            <w:webHidden/>
          </w:rPr>
        </w:r>
        <w:r w:rsidR="00F6031C">
          <w:rPr>
            <w:noProof/>
            <w:webHidden/>
          </w:rPr>
          <w:fldChar w:fldCharType="separate"/>
        </w:r>
        <w:r w:rsidR="00F6031C">
          <w:rPr>
            <w:noProof/>
            <w:webHidden/>
          </w:rPr>
          <w:t>16</w:t>
        </w:r>
        <w:r w:rsidR="00F6031C">
          <w:rPr>
            <w:noProof/>
            <w:webHidden/>
          </w:rPr>
          <w:fldChar w:fldCharType="end"/>
        </w:r>
      </w:hyperlink>
    </w:p>
    <w:p w14:paraId="3F4EE693"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53" w:history="1">
        <w:r w:rsidR="00F6031C" w:rsidRPr="00983B62">
          <w:rPr>
            <w:rStyle w:val="Hyperlink"/>
            <w:noProof/>
          </w:rPr>
          <w:t>3.2 Naming Conventions</w:t>
        </w:r>
        <w:r w:rsidR="00F6031C">
          <w:rPr>
            <w:noProof/>
            <w:webHidden/>
          </w:rPr>
          <w:tab/>
        </w:r>
        <w:r w:rsidR="00F6031C">
          <w:rPr>
            <w:noProof/>
            <w:webHidden/>
          </w:rPr>
          <w:fldChar w:fldCharType="begin"/>
        </w:r>
        <w:r w:rsidR="00F6031C">
          <w:rPr>
            <w:noProof/>
            <w:webHidden/>
          </w:rPr>
          <w:instrText xml:space="preserve"> PAGEREF _Toc428208153 \h </w:instrText>
        </w:r>
        <w:r w:rsidR="00F6031C">
          <w:rPr>
            <w:noProof/>
            <w:webHidden/>
          </w:rPr>
        </w:r>
        <w:r w:rsidR="00F6031C">
          <w:rPr>
            <w:noProof/>
            <w:webHidden/>
          </w:rPr>
          <w:fldChar w:fldCharType="separate"/>
        </w:r>
        <w:r w:rsidR="00F6031C">
          <w:rPr>
            <w:noProof/>
            <w:webHidden/>
          </w:rPr>
          <w:t>19</w:t>
        </w:r>
        <w:r w:rsidR="00F6031C">
          <w:rPr>
            <w:noProof/>
            <w:webHidden/>
          </w:rPr>
          <w:fldChar w:fldCharType="end"/>
        </w:r>
      </w:hyperlink>
    </w:p>
    <w:p w14:paraId="50F05D7C"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54" w:history="1">
        <w:r w:rsidR="00F6031C" w:rsidRPr="00983B62">
          <w:rPr>
            <w:rStyle w:val="Hyperlink"/>
            <w:noProof/>
          </w:rPr>
          <w:t>3.3 Identifiers</w:t>
        </w:r>
        <w:r w:rsidR="00F6031C">
          <w:rPr>
            <w:noProof/>
            <w:webHidden/>
          </w:rPr>
          <w:tab/>
        </w:r>
        <w:r w:rsidR="00F6031C">
          <w:rPr>
            <w:noProof/>
            <w:webHidden/>
          </w:rPr>
          <w:fldChar w:fldCharType="begin"/>
        </w:r>
        <w:r w:rsidR="00F6031C">
          <w:rPr>
            <w:noProof/>
            <w:webHidden/>
          </w:rPr>
          <w:instrText xml:space="preserve"> PAGEREF _Toc428208154 \h </w:instrText>
        </w:r>
        <w:r w:rsidR="00F6031C">
          <w:rPr>
            <w:noProof/>
            <w:webHidden/>
          </w:rPr>
        </w:r>
        <w:r w:rsidR="00F6031C">
          <w:rPr>
            <w:noProof/>
            <w:webHidden/>
          </w:rPr>
          <w:fldChar w:fldCharType="separate"/>
        </w:r>
        <w:r w:rsidR="00F6031C">
          <w:rPr>
            <w:noProof/>
            <w:webHidden/>
          </w:rPr>
          <w:t>19</w:t>
        </w:r>
        <w:r w:rsidR="00F6031C">
          <w:rPr>
            <w:noProof/>
            <w:webHidden/>
          </w:rPr>
          <w:fldChar w:fldCharType="end"/>
        </w:r>
      </w:hyperlink>
    </w:p>
    <w:p w14:paraId="303F2DD9" w14:textId="77777777" w:rsidR="00F6031C" w:rsidRDefault="00990CA7">
      <w:pPr>
        <w:pStyle w:val="TOC1"/>
        <w:rPr>
          <w:rFonts w:asciiTheme="minorHAnsi" w:eastAsiaTheme="minorEastAsia" w:hAnsiTheme="minorHAnsi" w:cstheme="minorBidi"/>
          <w:noProof/>
          <w:sz w:val="22"/>
          <w:szCs w:val="22"/>
        </w:rPr>
      </w:pPr>
      <w:hyperlink w:anchor="_Toc428208155" w:history="1">
        <w:r w:rsidR="00F6031C" w:rsidRPr="00983B62">
          <w:rPr>
            <w:rStyle w:val="Hyperlink"/>
            <w:noProof/>
          </w:rPr>
          <w:t>4</w:t>
        </w:r>
        <w:r w:rsidR="00F6031C">
          <w:rPr>
            <w:rFonts w:asciiTheme="minorHAnsi" w:eastAsiaTheme="minorEastAsia" w:hAnsiTheme="minorHAnsi" w:cstheme="minorBidi"/>
            <w:noProof/>
            <w:sz w:val="22"/>
            <w:szCs w:val="22"/>
          </w:rPr>
          <w:tab/>
        </w:r>
        <w:r w:rsidR="00F6031C" w:rsidRPr="00983B62">
          <w:rPr>
            <w:rStyle w:val="Hyperlink"/>
            <w:noProof/>
          </w:rPr>
          <w:t>Relationships to Other Externally-defined Data Models</w:t>
        </w:r>
        <w:r w:rsidR="00F6031C">
          <w:rPr>
            <w:noProof/>
            <w:webHidden/>
          </w:rPr>
          <w:tab/>
        </w:r>
        <w:r w:rsidR="00F6031C">
          <w:rPr>
            <w:noProof/>
            <w:webHidden/>
          </w:rPr>
          <w:fldChar w:fldCharType="begin"/>
        </w:r>
        <w:r w:rsidR="00F6031C">
          <w:rPr>
            <w:noProof/>
            <w:webHidden/>
          </w:rPr>
          <w:instrText xml:space="preserve"> PAGEREF _Toc428208155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02CEA278"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56" w:history="1">
        <w:r w:rsidR="00F6031C" w:rsidRPr="00983B62">
          <w:rPr>
            <w:rStyle w:val="Hyperlink"/>
            <w:noProof/>
          </w:rPr>
          <w:t>4.1 Common Attack Pattern Enumeration and Classification (CAPEC)</w:t>
        </w:r>
        <w:r w:rsidR="00F6031C">
          <w:rPr>
            <w:noProof/>
            <w:webHidden/>
          </w:rPr>
          <w:tab/>
        </w:r>
        <w:r w:rsidR="00F6031C">
          <w:rPr>
            <w:noProof/>
            <w:webHidden/>
          </w:rPr>
          <w:fldChar w:fldCharType="begin"/>
        </w:r>
        <w:r w:rsidR="00F6031C">
          <w:rPr>
            <w:noProof/>
            <w:webHidden/>
          </w:rPr>
          <w:instrText xml:space="preserve"> PAGEREF _Toc428208156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4C3B97C1"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57" w:history="1">
        <w:r w:rsidR="00F6031C" w:rsidRPr="00983B62">
          <w:rPr>
            <w:rStyle w:val="Hyperlink"/>
            <w:noProof/>
          </w:rPr>
          <w:t>4.2 Common Vulnerability Reporting Framework (CVRF)</w:t>
        </w:r>
        <w:r w:rsidR="00F6031C">
          <w:rPr>
            <w:noProof/>
            <w:webHidden/>
          </w:rPr>
          <w:tab/>
        </w:r>
        <w:r w:rsidR="00F6031C">
          <w:rPr>
            <w:noProof/>
            <w:webHidden/>
          </w:rPr>
          <w:fldChar w:fldCharType="begin"/>
        </w:r>
        <w:r w:rsidR="00F6031C">
          <w:rPr>
            <w:noProof/>
            <w:webHidden/>
          </w:rPr>
          <w:instrText xml:space="preserve"> PAGEREF _Toc428208157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2539AFDE"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58" w:history="1">
        <w:r w:rsidR="00F6031C" w:rsidRPr="00983B62">
          <w:rPr>
            <w:rStyle w:val="Hyperlink"/>
            <w:noProof/>
          </w:rPr>
          <w:t>4.3 Customer Information Quality (CIQ)</w:t>
        </w:r>
        <w:r w:rsidR="00F6031C">
          <w:rPr>
            <w:noProof/>
            <w:webHidden/>
          </w:rPr>
          <w:tab/>
        </w:r>
        <w:r w:rsidR="00F6031C">
          <w:rPr>
            <w:noProof/>
            <w:webHidden/>
          </w:rPr>
          <w:fldChar w:fldCharType="begin"/>
        </w:r>
        <w:r w:rsidR="00F6031C">
          <w:rPr>
            <w:noProof/>
            <w:webHidden/>
          </w:rPr>
          <w:instrText xml:space="preserve"> PAGEREF _Toc428208158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311C9F95"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59" w:history="1">
        <w:r w:rsidR="00F6031C" w:rsidRPr="00983B62">
          <w:rPr>
            <w:rStyle w:val="Hyperlink"/>
            <w:noProof/>
          </w:rPr>
          <w:t>4.4 Cyber Observable Expression (CybOX)</w:t>
        </w:r>
        <w:r w:rsidR="00F6031C">
          <w:rPr>
            <w:noProof/>
            <w:webHidden/>
          </w:rPr>
          <w:tab/>
        </w:r>
        <w:r w:rsidR="00F6031C">
          <w:rPr>
            <w:noProof/>
            <w:webHidden/>
          </w:rPr>
          <w:fldChar w:fldCharType="begin"/>
        </w:r>
        <w:r w:rsidR="00F6031C">
          <w:rPr>
            <w:noProof/>
            <w:webHidden/>
          </w:rPr>
          <w:instrText xml:space="preserve"> PAGEREF _Toc428208159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3222D8FE"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60" w:history="1">
        <w:r w:rsidR="00F6031C" w:rsidRPr="00983B62">
          <w:rPr>
            <w:rStyle w:val="Hyperlink"/>
            <w:noProof/>
          </w:rPr>
          <w:t>4.5 Malware Attribute Enumeration and Characterization (MAEC)</w:t>
        </w:r>
        <w:r w:rsidR="00F6031C">
          <w:rPr>
            <w:noProof/>
            <w:webHidden/>
          </w:rPr>
          <w:tab/>
        </w:r>
        <w:r w:rsidR="00F6031C">
          <w:rPr>
            <w:noProof/>
            <w:webHidden/>
          </w:rPr>
          <w:fldChar w:fldCharType="begin"/>
        </w:r>
        <w:r w:rsidR="00F6031C">
          <w:rPr>
            <w:noProof/>
            <w:webHidden/>
          </w:rPr>
          <w:instrText xml:space="preserve"> PAGEREF _Toc428208160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7DEB5525"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61" w:history="1">
        <w:r w:rsidR="00F6031C" w:rsidRPr="00983B62">
          <w:rPr>
            <w:rStyle w:val="Hyperlink"/>
            <w:noProof/>
          </w:rPr>
          <w:t>4.6 Open Indicators of Compromise (OpenIOC)</w:t>
        </w:r>
        <w:r w:rsidR="00F6031C">
          <w:rPr>
            <w:noProof/>
            <w:webHidden/>
          </w:rPr>
          <w:tab/>
        </w:r>
        <w:r w:rsidR="00F6031C">
          <w:rPr>
            <w:noProof/>
            <w:webHidden/>
          </w:rPr>
          <w:fldChar w:fldCharType="begin"/>
        </w:r>
        <w:r w:rsidR="00F6031C">
          <w:rPr>
            <w:noProof/>
            <w:webHidden/>
          </w:rPr>
          <w:instrText xml:space="preserve"> PAGEREF _Toc428208161 \h </w:instrText>
        </w:r>
        <w:r w:rsidR="00F6031C">
          <w:rPr>
            <w:noProof/>
            <w:webHidden/>
          </w:rPr>
        </w:r>
        <w:r w:rsidR="00F6031C">
          <w:rPr>
            <w:noProof/>
            <w:webHidden/>
          </w:rPr>
          <w:fldChar w:fldCharType="separate"/>
        </w:r>
        <w:r w:rsidR="00F6031C">
          <w:rPr>
            <w:noProof/>
            <w:webHidden/>
          </w:rPr>
          <w:t>21</w:t>
        </w:r>
        <w:r w:rsidR="00F6031C">
          <w:rPr>
            <w:noProof/>
            <w:webHidden/>
          </w:rPr>
          <w:fldChar w:fldCharType="end"/>
        </w:r>
      </w:hyperlink>
    </w:p>
    <w:p w14:paraId="482E7A95" w14:textId="77777777" w:rsidR="00F6031C" w:rsidRDefault="00990CA7">
      <w:pPr>
        <w:pStyle w:val="TOC2"/>
        <w:tabs>
          <w:tab w:val="right" w:leader="dot" w:pos="9350"/>
        </w:tabs>
        <w:rPr>
          <w:rFonts w:asciiTheme="minorHAnsi" w:eastAsiaTheme="minorEastAsia" w:hAnsiTheme="minorHAnsi" w:cstheme="minorBidi"/>
          <w:noProof/>
          <w:sz w:val="22"/>
          <w:szCs w:val="22"/>
        </w:rPr>
      </w:pPr>
      <w:hyperlink w:anchor="_Toc428208162" w:history="1">
        <w:r w:rsidR="00F6031C" w:rsidRPr="00983B62">
          <w:rPr>
            <w:rStyle w:val="Hyperlink"/>
            <w:noProof/>
          </w:rPr>
          <w:t>4.7 Open Vulnerability and Assessment Language (OVAL)</w:t>
        </w:r>
        <w:r w:rsidR="00F6031C">
          <w:rPr>
            <w:noProof/>
            <w:webHidden/>
          </w:rPr>
          <w:tab/>
        </w:r>
        <w:r w:rsidR="00F6031C">
          <w:rPr>
            <w:noProof/>
            <w:webHidden/>
          </w:rPr>
          <w:fldChar w:fldCharType="begin"/>
        </w:r>
        <w:r w:rsidR="00F6031C">
          <w:rPr>
            <w:noProof/>
            <w:webHidden/>
          </w:rPr>
          <w:instrText xml:space="preserve"> PAGEREF _Toc428208162 \h </w:instrText>
        </w:r>
        <w:r w:rsidR="00F6031C">
          <w:rPr>
            <w:noProof/>
            <w:webHidden/>
          </w:rPr>
        </w:r>
        <w:r w:rsidR="00F6031C">
          <w:rPr>
            <w:noProof/>
            <w:webHidden/>
          </w:rPr>
          <w:fldChar w:fldCharType="separate"/>
        </w:r>
        <w:r w:rsidR="00F6031C">
          <w:rPr>
            <w:noProof/>
            <w:webHidden/>
          </w:rPr>
          <w:t>21</w:t>
        </w:r>
        <w:r w:rsidR="00F6031C">
          <w:rPr>
            <w:noProof/>
            <w:webHidden/>
          </w:rPr>
          <w:fldChar w:fldCharType="end"/>
        </w:r>
      </w:hyperlink>
    </w:p>
    <w:p w14:paraId="3A216FA2" w14:textId="77777777" w:rsidR="00F6031C" w:rsidRDefault="00990CA7">
      <w:pPr>
        <w:pStyle w:val="TOC1"/>
        <w:rPr>
          <w:rFonts w:asciiTheme="minorHAnsi" w:eastAsiaTheme="minorEastAsia" w:hAnsiTheme="minorHAnsi" w:cstheme="minorBidi"/>
          <w:noProof/>
          <w:sz w:val="22"/>
          <w:szCs w:val="22"/>
        </w:rPr>
      </w:pPr>
      <w:hyperlink w:anchor="_Toc428208163" w:history="1">
        <w:r w:rsidR="00F6031C" w:rsidRPr="00983B62">
          <w:rPr>
            <w:rStyle w:val="Hyperlink"/>
            <w:noProof/>
          </w:rPr>
          <w:t>5</w:t>
        </w:r>
        <w:r w:rsidR="00F6031C">
          <w:rPr>
            <w:rFonts w:asciiTheme="minorHAnsi" w:eastAsiaTheme="minorEastAsia" w:hAnsiTheme="minorHAnsi" w:cstheme="minorBidi"/>
            <w:noProof/>
            <w:sz w:val="22"/>
            <w:szCs w:val="22"/>
          </w:rPr>
          <w:tab/>
        </w:r>
        <w:r w:rsidR="00F6031C" w:rsidRPr="00983B62">
          <w:rPr>
            <w:rStyle w:val="Hyperlink"/>
            <w:noProof/>
          </w:rPr>
          <w:t># Conformance</w:t>
        </w:r>
        <w:r w:rsidR="00F6031C">
          <w:rPr>
            <w:noProof/>
            <w:webHidden/>
          </w:rPr>
          <w:tab/>
        </w:r>
        <w:r w:rsidR="00F6031C">
          <w:rPr>
            <w:noProof/>
            <w:webHidden/>
          </w:rPr>
          <w:fldChar w:fldCharType="begin"/>
        </w:r>
        <w:r w:rsidR="00F6031C">
          <w:rPr>
            <w:noProof/>
            <w:webHidden/>
          </w:rPr>
          <w:instrText xml:space="preserve"> PAGEREF _Toc428208163 \h </w:instrText>
        </w:r>
        <w:r w:rsidR="00F6031C">
          <w:rPr>
            <w:noProof/>
            <w:webHidden/>
          </w:rPr>
        </w:r>
        <w:r w:rsidR="00F6031C">
          <w:rPr>
            <w:noProof/>
            <w:webHidden/>
          </w:rPr>
          <w:fldChar w:fldCharType="separate"/>
        </w:r>
        <w:r w:rsidR="00F6031C">
          <w:rPr>
            <w:noProof/>
            <w:webHidden/>
          </w:rPr>
          <w:t>22</w:t>
        </w:r>
        <w:r w:rsidR="00F6031C">
          <w:rPr>
            <w:noProof/>
            <w:webHidden/>
          </w:rPr>
          <w:fldChar w:fldCharType="end"/>
        </w:r>
      </w:hyperlink>
    </w:p>
    <w:p w14:paraId="2FC47AF6" w14:textId="77777777" w:rsidR="00F6031C" w:rsidRDefault="00990CA7">
      <w:pPr>
        <w:pStyle w:val="TOC1"/>
        <w:rPr>
          <w:rFonts w:asciiTheme="minorHAnsi" w:eastAsiaTheme="minorEastAsia" w:hAnsiTheme="minorHAnsi" w:cstheme="minorBidi"/>
          <w:noProof/>
          <w:sz w:val="22"/>
          <w:szCs w:val="22"/>
        </w:rPr>
      </w:pPr>
      <w:hyperlink w:anchor="_Toc428208164" w:history="1">
        <w:r w:rsidR="00F6031C" w:rsidRPr="00983B62">
          <w:rPr>
            <w:rStyle w:val="Hyperlink"/>
            <w:noProof/>
          </w:rPr>
          <w:t>Appendix A. Acknowledgments</w:t>
        </w:r>
        <w:r w:rsidR="00F6031C">
          <w:rPr>
            <w:noProof/>
            <w:webHidden/>
          </w:rPr>
          <w:tab/>
        </w:r>
        <w:r w:rsidR="00F6031C">
          <w:rPr>
            <w:noProof/>
            <w:webHidden/>
          </w:rPr>
          <w:fldChar w:fldCharType="begin"/>
        </w:r>
        <w:r w:rsidR="00F6031C">
          <w:rPr>
            <w:noProof/>
            <w:webHidden/>
          </w:rPr>
          <w:instrText xml:space="preserve"> PAGEREF _Toc428208164 \h </w:instrText>
        </w:r>
        <w:r w:rsidR="00F6031C">
          <w:rPr>
            <w:noProof/>
            <w:webHidden/>
          </w:rPr>
        </w:r>
        <w:r w:rsidR="00F6031C">
          <w:rPr>
            <w:noProof/>
            <w:webHidden/>
          </w:rPr>
          <w:fldChar w:fldCharType="separate"/>
        </w:r>
        <w:r w:rsidR="00F6031C">
          <w:rPr>
            <w:noProof/>
            <w:webHidden/>
          </w:rPr>
          <w:t>23</w:t>
        </w:r>
        <w:r w:rsidR="00F6031C">
          <w:rPr>
            <w:noProof/>
            <w:webHidden/>
          </w:rPr>
          <w:fldChar w:fldCharType="end"/>
        </w:r>
      </w:hyperlink>
    </w:p>
    <w:p w14:paraId="1FADF26E" w14:textId="77777777" w:rsidR="00F6031C" w:rsidRDefault="00990CA7">
      <w:pPr>
        <w:pStyle w:val="TOC1"/>
        <w:rPr>
          <w:rFonts w:asciiTheme="minorHAnsi" w:eastAsiaTheme="minorEastAsia" w:hAnsiTheme="minorHAnsi" w:cstheme="minorBidi"/>
          <w:noProof/>
          <w:sz w:val="22"/>
          <w:szCs w:val="22"/>
        </w:rPr>
      </w:pPr>
      <w:hyperlink w:anchor="_Toc428208165" w:history="1">
        <w:r w:rsidR="00F6031C" w:rsidRPr="00983B62">
          <w:rPr>
            <w:rStyle w:val="Hyperlink"/>
            <w:noProof/>
          </w:rPr>
          <w:t>Appendix B. Revision History</w:t>
        </w:r>
        <w:r w:rsidR="00F6031C">
          <w:rPr>
            <w:noProof/>
            <w:webHidden/>
          </w:rPr>
          <w:tab/>
        </w:r>
        <w:r w:rsidR="00F6031C">
          <w:rPr>
            <w:noProof/>
            <w:webHidden/>
          </w:rPr>
          <w:fldChar w:fldCharType="begin"/>
        </w:r>
        <w:r w:rsidR="00F6031C">
          <w:rPr>
            <w:noProof/>
            <w:webHidden/>
          </w:rPr>
          <w:instrText xml:space="preserve"> PAGEREF _Toc428208165 \h </w:instrText>
        </w:r>
        <w:r w:rsidR="00F6031C">
          <w:rPr>
            <w:noProof/>
            <w:webHidden/>
          </w:rPr>
        </w:r>
        <w:r w:rsidR="00F6031C">
          <w:rPr>
            <w:noProof/>
            <w:webHidden/>
          </w:rPr>
          <w:fldChar w:fldCharType="separate"/>
        </w:r>
        <w:r w:rsidR="00F6031C">
          <w:rPr>
            <w:noProof/>
            <w:webHidden/>
          </w:rPr>
          <w:t>24</w:t>
        </w:r>
        <w:r w:rsidR="00F6031C">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6" w:name="_Toc287332006"/>
    </w:p>
    <w:p w14:paraId="2EF3E0FB" w14:textId="77777777" w:rsidR="00C71349" w:rsidRPr="00C52EFC" w:rsidRDefault="00177DED" w:rsidP="0076113A">
      <w:pPr>
        <w:pStyle w:val="Heading1"/>
      </w:pPr>
      <w:bookmarkStart w:id="7" w:name="_Toc428208121"/>
      <w:r>
        <w:lastRenderedPageBreak/>
        <w:t>Introduction</w:t>
      </w:r>
      <w:bookmarkEnd w:id="0"/>
      <w:bookmarkEnd w:id="6"/>
      <w:bookmarkEnd w:id="7"/>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6A5A40BA"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2A26CE" w:rsidRPr="002D1389">
        <w:rPr>
          <w:b/>
          <w:color w:val="0000EE"/>
        </w:rPr>
        <w:t xml:space="preserve">Figure </w:t>
      </w:r>
      <w:r w:rsidR="002A26CE" w:rsidRPr="002D1389">
        <w:rPr>
          <w:b/>
          <w:noProof/>
          <w:color w:val="0000EE"/>
        </w:rPr>
        <w:t>1</w:t>
      </w:r>
      <w:r w:rsidR="002A26CE" w:rsidRPr="002D1389">
        <w:rPr>
          <w:b/>
          <w:color w:val="0000EE"/>
        </w:rPr>
        <w:noBreakHyphen/>
      </w:r>
      <w:r w:rsidR="002A26CE" w:rsidRPr="002D1389">
        <w:rPr>
          <w:b/>
          <w:noProof/>
          <w:color w:val="0000EE"/>
        </w:rPr>
        <w:t>1</w:t>
      </w:r>
      <w:r w:rsidR="002A26CE" w:rsidRPr="002D1389">
        <w:rPr>
          <w:b/>
          <w:color w:val="0000EE"/>
        </w:rPr>
        <w:fldChar w:fldCharType="end"/>
      </w:r>
      <w:r>
        <w:t xml:space="preserve">, this STIX specification overview document (shown in yellow) serves as a unifying document for the </w:t>
      </w:r>
      <w:r w:rsidR="00321132">
        <w:t xml:space="preserve">ful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321132" w:rsidRPr="002D1389">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21FE4" w:rsidRPr="002D1389">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21FE4" w:rsidRPr="002D1389">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C350A2" w:rsidRPr="002D1389">
        <w:rPr>
          <w:b/>
          <w:color w:val="0000EE"/>
        </w:rPr>
        <w:t>5</w:t>
      </w:r>
      <w:r w:rsidR="00C350A2" w:rsidRPr="002D1389">
        <w:rPr>
          <w:b/>
          <w:color w:val="0000EE"/>
        </w:rPr>
        <w:fldChar w:fldCharType="end"/>
      </w:r>
      <w:r w:rsidR="00FC1382" w:rsidRPr="00FC1382">
        <w:t>)</w:t>
      </w:r>
      <w:r w:rsidR="00C350A2">
        <w:t>.</w:t>
      </w:r>
    </w:p>
    <w:p w14:paraId="5FD06D3A" w14:textId="77777777" w:rsidR="00387A69" w:rsidRPr="00CB4BF9" w:rsidRDefault="00387A69" w:rsidP="00387A69">
      <w:pPr>
        <w:jc w:val="center"/>
      </w:pPr>
      <w:r>
        <w:rPr>
          <w:noProof/>
        </w:rPr>
        <w:drawing>
          <wp:inline distT="0" distB="0" distL="0" distR="0" wp14:anchorId="747A2716" wp14:editId="0D3A5C4C">
            <wp:extent cx="3884295" cy="189222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06473" cy="1903028"/>
                    </a:xfrm>
                    <a:prstGeom prst="rect">
                      <a:avLst/>
                    </a:prstGeom>
                    <a:noFill/>
                  </pic:spPr>
                </pic:pic>
              </a:graphicData>
            </a:graphic>
          </wp:inline>
        </w:drawing>
      </w:r>
    </w:p>
    <w:p w14:paraId="59FB3627" w14:textId="30AF2595" w:rsidR="00387A69" w:rsidRDefault="006F5461" w:rsidP="00236A31">
      <w:pPr>
        <w:pStyle w:val="Caption"/>
        <w:rPr>
          <w:b/>
        </w:rPr>
      </w:pPr>
      <w:bookmarkStart w:id="8" w:name="_Ref427253214"/>
      <w:bookmarkStart w:id="9" w:name="_Ref390077491"/>
      <w:r w:rsidRPr="001A2638">
        <w:t xml:space="preserve">Figure </w:t>
      </w:r>
      <w:r w:rsidR="00990CA7">
        <w:fldChar w:fldCharType="begin"/>
      </w:r>
      <w:r w:rsidR="00990CA7">
        <w:instrText xml:space="preserve"> STYLEREF 1 \s </w:instrText>
      </w:r>
      <w:r w:rsidR="00990CA7">
        <w:fldChar w:fldCharType="separate"/>
      </w:r>
      <w:r>
        <w:rPr>
          <w:noProof/>
        </w:rPr>
        <w:t>1</w:t>
      </w:r>
      <w:r w:rsidR="00990CA7">
        <w:rPr>
          <w:noProof/>
        </w:rPr>
        <w:fldChar w:fldCharType="end"/>
      </w:r>
      <w:r w:rsidRPr="001A2638">
        <w:noBreakHyphen/>
      </w:r>
      <w:r w:rsidR="00990CA7">
        <w:fldChar w:fldCharType="begin"/>
      </w:r>
      <w:r w:rsidR="00990CA7">
        <w:instrText xml:space="preserve"> SEQ Figure \* ARABIC \s 1 </w:instrText>
      </w:r>
      <w:r w:rsidR="00990CA7">
        <w:fldChar w:fldCharType="separate"/>
      </w:r>
      <w:r>
        <w:rPr>
          <w:noProof/>
        </w:rPr>
        <w:t>1</w:t>
      </w:r>
      <w:r w:rsidR="00990CA7">
        <w:rPr>
          <w:noProof/>
        </w:rPr>
        <w:fldChar w:fldCharType="end"/>
      </w:r>
      <w:bookmarkEnd w:id="8"/>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9"/>
    </w:p>
    <w:p w14:paraId="155963DE" w14:textId="2A3D787A"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2A26CE" w:rsidRPr="00703FAF">
        <w:rPr>
          <w:b/>
          <w:color w:val="0000EE"/>
        </w:rPr>
        <w:t>Figure 1</w:t>
      </w:r>
      <w:r w:rsidR="002A26CE" w:rsidRPr="00703FAF">
        <w:rPr>
          <w:b/>
          <w:color w:val="0000EE"/>
        </w:rPr>
        <w:noBreakHyphen/>
        <w:t>1</w:t>
      </w:r>
      <w:r w:rsidR="006F5461" w:rsidRPr="00703FAF">
        <w:rPr>
          <w:b/>
          <w:color w:val="0000EE"/>
        </w:rPr>
        <w:fldChar w:fldCharType="end"/>
      </w:r>
      <w:r>
        <w: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w:t>
      </w:r>
      <w:r w:rsidRPr="00703FAF">
        <w:t>see</w:t>
      </w:r>
      <w:r w:rsidR="00386036" w:rsidRPr="00703FAF">
        <w:t xml:space="preserve"> Section</w:t>
      </w:r>
      <w:r w:rsidR="00703FAF">
        <w:t xml:space="preserve"> </w:t>
      </w:r>
      <w:r w:rsidR="00703FAF" w:rsidRPr="002D1389">
        <w:rPr>
          <w:b/>
          <w:color w:val="0000EE"/>
        </w:rPr>
        <w:fldChar w:fldCharType="begin"/>
      </w:r>
      <w:r w:rsidR="00703FAF" w:rsidRPr="002D1389">
        <w:rPr>
          <w:b/>
          <w:color w:val="0000EE"/>
        </w:rPr>
        <w:instrText xml:space="preserve"> REF _Ref404274938 \r \h </w:instrText>
      </w:r>
      <w:r w:rsidR="002D1389">
        <w:rPr>
          <w:b/>
          <w:color w:val="0000EE"/>
        </w:rPr>
        <w:instrText xml:space="preserve"> \* MERGEFORMAT </w:instrText>
      </w:r>
      <w:r w:rsidR="00703FAF" w:rsidRPr="002D1389">
        <w:rPr>
          <w:b/>
          <w:color w:val="0000EE"/>
        </w:rPr>
      </w:r>
      <w:r w:rsidR="00703FAF" w:rsidRPr="002D1389">
        <w:rPr>
          <w:b/>
          <w:color w:val="0000EE"/>
        </w:rPr>
        <w:fldChar w:fldCharType="separate"/>
      </w:r>
      <w:r w:rsidR="00703FAF" w:rsidRPr="002D1389">
        <w:rPr>
          <w:b/>
          <w:color w:val="0000EE"/>
        </w:rPr>
        <w:t>4.4</w:t>
      </w:r>
      <w:r w:rsidR="00703FAF" w:rsidRPr="002D1389">
        <w:rPr>
          <w:b/>
          <w:color w:val="0000EE"/>
        </w:rPr>
        <w:fldChar w:fldCharType="end"/>
      </w:r>
      <w:r>
        <w:t xml:space="preserve"> for details).  </w:t>
      </w:r>
    </w:p>
    <w:p w14:paraId="2158EC21" w14:textId="223DF0EE"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STIX information, including community information, suggested practices, and content examples, is available at </w:t>
      </w:r>
      <w:hyperlink w:anchor="ghio" w:history="1">
        <w:r w:rsidR="00D904F5" w:rsidRPr="00D904F5">
          <w:rPr>
            <w:rStyle w:val="Hyperlink"/>
            <w:b/>
          </w:rPr>
          <w:t>[GitHub-IO]</w:t>
        </w:r>
      </w:hyperlink>
      <w:r w:rsidRPr="007D03B1">
        <w:rPr>
          <w:color w:val="000000"/>
        </w:rPr>
        <w:t>.</w:t>
      </w:r>
    </w:p>
    <w:p w14:paraId="6B677578" w14:textId="2452D638"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7938C5" w:rsidRPr="002D1389">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 xml:space="preserve">on,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D35D97" w:rsidRPr="00703FAF">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D35D97" w:rsidRPr="002D1389">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10" w:name="_Ref427251561"/>
      <w:bookmarkStart w:id="11" w:name="_Toc428208122"/>
      <w:bookmarkStart w:id="12" w:name="_Toc85472893"/>
      <w:bookmarkStart w:id="13" w:name="_Toc287332007"/>
      <w:r>
        <w:t>Document Conventions</w:t>
      </w:r>
      <w:bookmarkEnd w:id="10"/>
      <w:bookmarkEnd w:id="11"/>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4" w:name="_Toc428208123"/>
      <w:r>
        <w:lastRenderedPageBreak/>
        <w:t>Fonts</w:t>
      </w:r>
      <w:bookmarkEnd w:id="14"/>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FC585E" w:rsidRPr="004D78D4">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5" w:name="_Toc428208124"/>
      <w:r>
        <w:t>UML Package References</w:t>
      </w:r>
      <w:bookmarkEnd w:id="15"/>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FC585E" w:rsidRPr="004D78D4">
        <w:rPr>
          <w:b/>
          <w:color w:val="0000EE"/>
          <w:szCs w:val="20"/>
        </w:rPr>
        <w:t xml:space="preserve">Table </w:t>
      </w:r>
      <w:r w:rsidR="00FC585E" w:rsidRPr="004D78D4">
        <w:rPr>
          <w:b/>
          <w:noProof/>
          <w:color w:val="0000EE"/>
          <w:szCs w:val="20"/>
        </w:rPr>
        <w:t>3</w:t>
      </w:r>
      <w:r w:rsidR="00FC585E" w:rsidRPr="004D78D4">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6" w:name="_Toc428208125"/>
      <w:r>
        <w:t>UML Diagrams</w:t>
      </w:r>
      <w:bookmarkEnd w:id="16"/>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7" w:name="_Toc428208126"/>
      <w:r>
        <w:t>Class Properties</w:t>
      </w:r>
      <w:bookmarkEnd w:id="17"/>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8" w:name="_Toc428208127"/>
      <w:r>
        <w:t>Diagram Icons and Arrow Types</w:t>
      </w:r>
      <w:bookmarkEnd w:id="18"/>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6F5461" w:rsidRPr="004D78D4">
        <w:rPr>
          <w:b/>
          <w:color w:val="0000EE"/>
        </w:rPr>
        <w:t xml:space="preserve">Table </w:t>
      </w:r>
      <w:r w:rsidR="006F5461" w:rsidRPr="004D78D4">
        <w:rPr>
          <w:b/>
          <w:noProof/>
          <w:color w:val="0000EE"/>
        </w:rPr>
        <w:t>1</w:t>
      </w:r>
      <w:r w:rsidR="006F5461" w:rsidRPr="004D78D4">
        <w:rPr>
          <w:b/>
          <w:color w:val="0000EE"/>
        </w:rPr>
        <w:noBreakHyphen/>
      </w:r>
      <w:r w:rsidR="006F5461" w:rsidRPr="004D78D4">
        <w:rPr>
          <w:b/>
          <w:noProof/>
          <w:color w:val="0000EE"/>
        </w:rPr>
        <w:t>1</w:t>
      </w:r>
      <w:r w:rsidRPr="004D78D4">
        <w:rPr>
          <w:b/>
          <w:color w:val="0000EE"/>
        </w:rPr>
        <w:fldChar w:fldCharType="end"/>
      </w:r>
      <w:r>
        <w:t xml:space="preserve"> on page </w:t>
      </w:r>
      <w:r>
        <w:fldChar w:fldCharType="begin"/>
      </w:r>
      <w:r>
        <w:instrText xml:space="preserve"> PAGEREF _Ref418197702 \h </w:instrText>
      </w:r>
      <w:r>
        <w:fldChar w:fldCharType="separate"/>
      </w:r>
      <w:r w:rsidR="006F5461">
        <w:rPr>
          <w:noProof/>
        </w:rPr>
        <w:t>7</w:t>
      </w:r>
      <w:r>
        <w:fldChar w:fldCharType="end"/>
      </w:r>
      <w:r>
        <w:t>.</w:t>
      </w:r>
      <w:bookmarkStart w:id="19" w:name="_Ref397637630"/>
      <w:bookmarkStart w:id="20" w:name="_Ref418197702"/>
    </w:p>
    <w:p w14:paraId="18F46C3A" w14:textId="77777777" w:rsidR="001A2638" w:rsidRPr="001A2638" w:rsidRDefault="001A2638" w:rsidP="00236A31">
      <w:pPr>
        <w:pStyle w:val="Caption"/>
      </w:pPr>
      <w:bookmarkStart w:id="21" w:name="_Ref418259228"/>
      <w:r w:rsidRPr="001A2638">
        <w:t xml:space="preserve">Table </w:t>
      </w:r>
      <w:r w:rsidR="00990CA7">
        <w:fldChar w:fldCharType="begin"/>
      </w:r>
      <w:r w:rsidR="00990CA7">
        <w:instrText xml:space="preserve"> STYLEREF 1 \s </w:instrText>
      </w:r>
      <w:r w:rsidR="00990CA7">
        <w:fldChar w:fldCharType="separate"/>
      </w:r>
      <w:r w:rsidR="00FC585E">
        <w:rPr>
          <w:noProof/>
        </w:rPr>
        <w:t>1</w:t>
      </w:r>
      <w:r w:rsidR="00990CA7">
        <w:rPr>
          <w:noProof/>
        </w:rPr>
        <w:fldChar w:fldCharType="end"/>
      </w:r>
      <w:r w:rsidRPr="001A2638">
        <w:noBreakHyphen/>
      </w:r>
      <w:r w:rsidR="00990CA7">
        <w:fldChar w:fldCharType="begin"/>
      </w:r>
      <w:r w:rsidR="00990CA7">
        <w:instrText xml:space="preserve"> SEQ Table \* ARABIC \s 1 </w:instrText>
      </w:r>
      <w:r w:rsidR="00990CA7">
        <w:fldChar w:fldCharType="separate"/>
      </w:r>
      <w:r w:rsidR="00FC585E">
        <w:rPr>
          <w:noProof/>
        </w:rPr>
        <w:t>1</w:t>
      </w:r>
      <w:r w:rsidR="00990CA7">
        <w:rPr>
          <w:noProof/>
        </w:rPr>
        <w:fldChar w:fldCharType="end"/>
      </w:r>
      <w:bookmarkEnd w:id="19"/>
      <w:bookmarkEnd w:id="21"/>
      <w:r w:rsidRPr="001A2638">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3F706D4C" w:rsidR="001A2638" w:rsidRDefault="00221FE4"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71DC1C4" wp14:editId="2B9F6F25">
                  <wp:extent cx="200025" cy="228600"/>
                  <wp:effectExtent l="0" t="0" r="9525" b="0"/>
                  <wp:docPr id="4" name="Picture 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9" o:title=""/>
                </v:shape>
                <o:OLEObject Type="Embed" ProgID="PBrush" ShapeID="_x0000_i1025" DrawAspect="Content" ObjectID="_1502278054" r:id="rId30"/>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3.5pt;height:13.5pt" o:ole="">
                  <v:imagedata r:id="rId32" o:title=""/>
                </v:shape>
                <o:OLEObject Type="Embed" ProgID="PBrush" ShapeID="_x0000_i1026" DrawAspect="Content" ObjectID="_1502278055" r:id="rId33"/>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3.5pt;height:13.5pt" o:ole="">
                  <v:imagedata r:id="rId34" o:title=""/>
                </v:shape>
                <o:OLEObject Type="Embed" ProgID="PBrush" ShapeID="_x0000_i1027" DrawAspect="Content" ObjectID="_1502278056" r:id="rId35"/>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ADD09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8.5pt;height:35.25pt" o:ole="">
                  <v:imagedata r:id="rId36" o:title=""/>
                </v:shape>
                <o:OLEObject Type="Embed" ProgID="PBrush" ShapeID="_x0000_i1028" DrawAspect="Content" ObjectID="_1502278057" r:id="rId37"/>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2" w:name="_Toc428208128"/>
      <w:r>
        <w:t>Color Coding</w:t>
      </w:r>
      <w:bookmarkEnd w:id="22"/>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FC585E" w:rsidRPr="004D78D4">
        <w:rPr>
          <w:b/>
          <w:color w:val="0000EE"/>
        </w:rPr>
        <w:t xml:space="preserve">Figure </w:t>
      </w:r>
      <w:r w:rsidR="00FC585E" w:rsidRPr="004D78D4">
        <w:rPr>
          <w:b/>
          <w:noProof/>
          <w:color w:val="0000EE"/>
        </w:rPr>
        <w:t>1</w:t>
      </w:r>
      <w:r w:rsidR="00FC585E" w:rsidRPr="004D78D4">
        <w:rPr>
          <w:b/>
          <w:color w:val="0000EE"/>
        </w:rPr>
        <w:noBreakHyphen/>
      </w:r>
      <w:r w:rsidR="00FC585E" w:rsidRPr="004D78D4">
        <w:rPr>
          <w:b/>
          <w:noProof/>
          <w:color w:val="0000EE"/>
        </w:rPr>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8">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9CD8419" w14:textId="690C46EE" w:rsidR="001A2638" w:rsidRDefault="001A2638" w:rsidP="006F5461">
      <w:pPr>
        <w:pStyle w:val="Caption"/>
      </w:pPr>
      <w:bookmarkStart w:id="23" w:name="_Ref397676401"/>
      <w:r w:rsidRPr="001A2638">
        <w:t xml:space="preserve">Figure </w:t>
      </w:r>
      <w:r w:rsidR="00990CA7">
        <w:fldChar w:fldCharType="begin"/>
      </w:r>
      <w:r w:rsidR="00990CA7">
        <w:instrText xml:space="preserve"> STYLEREF 1 \s </w:instrText>
      </w:r>
      <w:r w:rsidR="00990CA7">
        <w:fldChar w:fldCharType="separate"/>
      </w:r>
      <w:r w:rsidR="00FC585E">
        <w:rPr>
          <w:noProof/>
        </w:rPr>
        <w:t>1</w:t>
      </w:r>
      <w:r w:rsidR="00990CA7">
        <w:rPr>
          <w:noProof/>
        </w:rPr>
        <w:fldChar w:fldCharType="end"/>
      </w:r>
      <w:r w:rsidRPr="001A2638">
        <w:noBreakHyphen/>
      </w:r>
      <w:r w:rsidR="00990CA7">
        <w:fldChar w:fldCharType="begin"/>
      </w:r>
      <w:r w:rsidR="00990CA7">
        <w:instrText xml:space="preserve"> SEQ Figure \* ARABIC \s 1 </w:instrText>
      </w:r>
      <w:r w:rsidR="00990CA7">
        <w:fldChar w:fldCharType="separate"/>
      </w:r>
      <w:r w:rsidR="00FC585E">
        <w:rPr>
          <w:noProof/>
        </w:rPr>
        <w:t>2</w:t>
      </w:r>
      <w:r w:rsidR="00990CA7">
        <w:rPr>
          <w:noProof/>
        </w:rPr>
        <w:fldChar w:fldCharType="end"/>
      </w:r>
      <w:bookmarkEnd w:id="23"/>
      <w:r w:rsidRPr="001A2638">
        <w:t xml:space="preserve">.  </w:t>
      </w:r>
      <w:r>
        <w:t>Data model color coding</w:t>
      </w:r>
    </w:p>
    <w:p w14:paraId="4D3ACA46" w14:textId="77777777" w:rsidR="00C71349" w:rsidRDefault="00C02DEC" w:rsidP="00A710C8">
      <w:pPr>
        <w:pStyle w:val="Heading2"/>
      </w:pPr>
      <w:bookmarkStart w:id="24" w:name="_Toc428208129"/>
      <w:r>
        <w:t>Terminology</w:t>
      </w:r>
      <w:bookmarkEnd w:id="12"/>
      <w:bookmarkEnd w:id="13"/>
      <w:bookmarkEnd w:id="24"/>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AB4D6E" w:rsidRPr="00624F51">
        <w:rPr>
          <w:rStyle w:val="Refterm"/>
          <w:color w:val="0000EE"/>
        </w:rPr>
        <w:t>[RFC2119]</w:t>
      </w:r>
      <w:r w:rsidR="00C02DEC" w:rsidRPr="00624F51">
        <w:rPr>
          <w:color w:val="0000EE"/>
        </w:rPr>
        <w:fldChar w:fldCharType="end"/>
      </w:r>
      <w:r w:rsidR="00C02DEC">
        <w:t>.</w:t>
      </w:r>
    </w:p>
    <w:p w14:paraId="2CDB6A34" w14:textId="41CE9CF8" w:rsidR="00C02DEC" w:rsidRDefault="00C02DEC" w:rsidP="00A710C8">
      <w:pPr>
        <w:pStyle w:val="Heading2"/>
      </w:pPr>
      <w:bookmarkStart w:id="25" w:name="_Ref7502892"/>
      <w:bookmarkStart w:id="26" w:name="_Toc12011611"/>
      <w:bookmarkStart w:id="27" w:name="_Toc85472894"/>
      <w:bookmarkStart w:id="28" w:name="_Toc287332008"/>
      <w:bookmarkStart w:id="29" w:name="_Ref428000766"/>
      <w:bookmarkStart w:id="30" w:name="_Toc428208130"/>
      <w:r>
        <w:t>Normative</w:t>
      </w:r>
      <w:bookmarkEnd w:id="25"/>
      <w:bookmarkEnd w:id="26"/>
      <w:r>
        <w:t xml:space="preserve"> References</w:t>
      </w:r>
      <w:bookmarkEnd w:id="27"/>
      <w:bookmarkEnd w:id="28"/>
      <w:bookmarkEnd w:id="29"/>
      <w:bookmarkEnd w:id="30"/>
    </w:p>
    <w:p w14:paraId="7627E4CB" w14:textId="7EAB096A" w:rsidR="000562B6" w:rsidRDefault="000562B6" w:rsidP="00942D23">
      <w:pPr>
        <w:pStyle w:val="Ref"/>
        <w:rPr>
          <w:rStyle w:val="Hyperlink"/>
        </w:rPr>
      </w:pPr>
      <w:r>
        <w:rPr>
          <w:rStyle w:val="Refterm"/>
        </w:rPr>
        <w:t>[</w:t>
      </w:r>
      <w:bookmarkStart w:id="31" w:name="capec"/>
      <w:r>
        <w:rPr>
          <w:rStyle w:val="Refterm"/>
        </w:rPr>
        <w:t>CAPEC</w:t>
      </w:r>
      <w:bookmarkEnd w:id="31"/>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9"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2" w:name="cee"/>
      <w:r>
        <w:rPr>
          <w:rStyle w:val="Refterm"/>
        </w:rPr>
        <w:t>CEE</w:t>
      </w:r>
      <w:bookmarkEnd w:id="32"/>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40"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3" w:name="ciq"/>
      <w:r w:rsidRPr="00BF431D">
        <w:rPr>
          <w:rStyle w:val="Refterm"/>
        </w:rPr>
        <w:t>CIQ</w:t>
      </w:r>
      <w:bookmarkEnd w:id="33"/>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41"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4" w:name="rfc2119"/>
      <w:bookmarkStart w:id="35" w:name="cpe"/>
      <w:r>
        <w:rPr>
          <w:rStyle w:val="Refterm"/>
        </w:rPr>
        <w:t>CPE</w:t>
      </w:r>
      <w:bookmarkEnd w:id="34"/>
      <w:bookmarkEnd w:id="35"/>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2"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6" w:name="cve"/>
      <w:r w:rsidRPr="00924B44">
        <w:rPr>
          <w:b/>
        </w:rPr>
        <w:t>CVE</w:t>
      </w:r>
      <w:bookmarkEnd w:id="36"/>
      <w:r w:rsidRPr="00924B44">
        <w:rPr>
          <w:b/>
        </w:rPr>
        <w:t>]</w:t>
      </w:r>
      <w:r>
        <w:tab/>
        <w:t xml:space="preserve">Common Vulnerabilities and Exposures (CVE). </w:t>
      </w:r>
      <w:r w:rsidR="00807269">
        <w:t xml:space="preserve">(2015, Jul. 28). The MITRE Corporation. [Online]. Available: </w:t>
      </w:r>
      <w:hyperlink r:id="rId43" w:history="1">
        <w:r w:rsidRPr="000E62CA">
          <w:rPr>
            <w:rStyle w:val="Hyperlink"/>
          </w:rPr>
          <w:t>http://cve.mitre.org</w:t>
        </w:r>
      </w:hyperlink>
      <w:r>
        <w:t>.</w:t>
      </w:r>
    </w:p>
    <w:p w14:paraId="070D72A5" w14:textId="523F5592" w:rsidR="007C6F15" w:rsidRDefault="007C6F15" w:rsidP="00942D23">
      <w:pPr>
        <w:pStyle w:val="Ref"/>
      </w:pPr>
      <w:r>
        <w:rPr>
          <w:b/>
        </w:rPr>
        <w:t>[</w:t>
      </w:r>
      <w:bookmarkStart w:id="37" w:name="cvrf"/>
      <w:r>
        <w:rPr>
          <w:b/>
        </w:rPr>
        <w:t>CVRF</w:t>
      </w:r>
      <w:bookmarkEnd w:id="37"/>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4"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8" w:name="cwe"/>
      <w:r w:rsidRPr="00924B44">
        <w:rPr>
          <w:b/>
        </w:rPr>
        <w:t>CWE</w:t>
      </w:r>
      <w:bookmarkEnd w:id="38"/>
      <w:r w:rsidRPr="00924B44">
        <w:rPr>
          <w:b/>
        </w:rPr>
        <w:t>]</w:t>
      </w:r>
      <w:r>
        <w:tab/>
        <w:t>Common Weakness Enumeration (CWE).</w:t>
      </w:r>
      <w:r w:rsidR="00B379E7">
        <w:t xml:space="preserve"> (2014, Jul. 31). The MITRE Corporation. [Online]. Available:</w:t>
      </w:r>
      <w:r>
        <w:t xml:space="preserve"> </w:t>
      </w:r>
      <w:hyperlink r:id="rId45"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9" w:name="iso8601"/>
      <w:r>
        <w:rPr>
          <w:b/>
        </w:rPr>
        <w:t>ISO8601</w:t>
      </w:r>
      <w:bookmarkEnd w:id="39"/>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6"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40" w:name="maec"/>
      <w:r>
        <w:rPr>
          <w:b/>
        </w:rPr>
        <w:t>MAEC</w:t>
      </w:r>
      <w:bookmarkEnd w:id="40"/>
      <w:r>
        <w:rPr>
          <w:b/>
        </w:rPr>
        <w:t>]</w:t>
      </w:r>
      <w:r>
        <w:rPr>
          <w:b/>
        </w:rPr>
        <w:tab/>
      </w:r>
      <w:r>
        <w:t>Malware Attribute Enumerati</w:t>
      </w:r>
      <w:r w:rsidR="00474A0B">
        <w:t xml:space="preserve">on and Characterization (MAEC). (2015, Apr. 14). The MITRE Corporation. [Online]. Available: </w:t>
      </w:r>
      <w:hyperlink r:id="rId47"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1" w:name="openioc"/>
      <w:r>
        <w:rPr>
          <w:b/>
        </w:rPr>
        <w:t>OpenIOC</w:t>
      </w:r>
      <w:bookmarkEnd w:id="41"/>
      <w:r>
        <w:rPr>
          <w:b/>
        </w:rPr>
        <w:t>]</w:t>
      </w:r>
      <w:r>
        <w:rPr>
          <w:b/>
        </w:rPr>
        <w:tab/>
      </w:r>
      <w:r w:rsidRPr="0060169E">
        <w:t xml:space="preserve">The OpenIOC Framework. (n.d.). Mandiant Corporation. [Online]. Available:  </w:t>
      </w:r>
      <w:hyperlink r:id="rId48"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2" w:name="oval"/>
      <w:r>
        <w:rPr>
          <w:b/>
        </w:rPr>
        <w:t>OVAL</w:t>
      </w:r>
      <w:bookmarkEnd w:id="42"/>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9"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50"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3" w:name="rfc3986"/>
      <w:r>
        <w:rPr>
          <w:rStyle w:val="Refterm"/>
        </w:rPr>
        <w:t>RFC3986</w:t>
      </w:r>
      <w:bookmarkEnd w:id="43"/>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51"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4" w:name="rfc5646"/>
      <w:r w:rsidRPr="00924B44">
        <w:rPr>
          <w:b/>
        </w:rPr>
        <w:t>RFC5646</w:t>
      </w:r>
      <w:bookmarkEnd w:id="44"/>
      <w:r w:rsidRPr="00924B44">
        <w:rPr>
          <w:b/>
        </w:rPr>
        <w:t>]</w:t>
      </w:r>
      <w:r>
        <w:tab/>
        <w:t>Phillips, A. and Davis, M., “Tags for Identifying Languages</w:t>
      </w:r>
      <w:r w:rsidR="0029378C">
        <w:t>,</w:t>
      </w:r>
      <w:r>
        <w:t>” BCP 47, RFC 5646, September 2009.</w:t>
      </w:r>
      <w:r w:rsidR="007458D6">
        <w:t xml:space="preserve"> Available: </w:t>
      </w:r>
      <w:hyperlink r:id="rId52"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5" w:name="W3Name"/>
      <w:r>
        <w:rPr>
          <w:b/>
        </w:rPr>
        <w:t>W3Name</w:t>
      </w:r>
      <w:bookmarkEnd w:id="45"/>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3"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6" w:name="W3DT"/>
      <w:r>
        <w:rPr>
          <w:b/>
        </w:rPr>
        <w:t>W3DT</w:t>
      </w:r>
      <w:bookmarkEnd w:id="46"/>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4"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7" w:name="_Toc85472895"/>
      <w:bookmarkStart w:id="48" w:name="_Toc287332009"/>
      <w:bookmarkStart w:id="49" w:name="_Ref428000779"/>
      <w:bookmarkStart w:id="50" w:name="_Toc428208131"/>
      <w:r>
        <w:t>Non-Normative References</w:t>
      </w:r>
      <w:bookmarkEnd w:id="47"/>
      <w:bookmarkEnd w:id="48"/>
      <w:bookmarkEnd w:id="49"/>
      <w:bookmarkEnd w:id="50"/>
    </w:p>
    <w:p w14:paraId="35E02474" w14:textId="3CAEFA12" w:rsidR="00386036" w:rsidRDefault="00386036" w:rsidP="00AE0702">
      <w:pPr>
        <w:pStyle w:val="Ref"/>
      </w:pPr>
      <w:r>
        <w:rPr>
          <w:b/>
        </w:rPr>
        <w:t>[</w:t>
      </w:r>
      <w:bookmarkStart w:id="51" w:name="githubio"/>
      <w:r>
        <w:rPr>
          <w:b/>
        </w:rPr>
        <w:t>G</w:t>
      </w:r>
      <w:r w:rsidR="00C4524F">
        <w:rPr>
          <w:b/>
        </w:rPr>
        <w:t>it</w:t>
      </w:r>
      <w:r>
        <w:rPr>
          <w:b/>
        </w:rPr>
        <w:t>H</w:t>
      </w:r>
      <w:r w:rsidR="00C4524F">
        <w:rPr>
          <w:b/>
        </w:rPr>
        <w:t>ub</w:t>
      </w:r>
      <w:r>
        <w:rPr>
          <w:b/>
        </w:rPr>
        <w:t>-IO</w:t>
      </w:r>
      <w:bookmarkEnd w:id="51"/>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5"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279BF06A" w:rsidR="00D5207A" w:rsidRDefault="00537388" w:rsidP="00F64287">
      <w:pPr>
        <w:pStyle w:val="Ref"/>
      </w:pPr>
      <w:r>
        <w:rPr>
          <w:b/>
        </w:rPr>
        <w:t>[</w:t>
      </w:r>
      <w:bookmarkStart w:id="52" w:name="STIXMAEC"/>
      <w:r>
        <w:rPr>
          <w:b/>
        </w:rPr>
        <w:t>STIX-MAEC</w:t>
      </w:r>
      <w:bookmarkEnd w:id="52"/>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6" w:history="1">
        <w:r w:rsidR="00F64287" w:rsidRPr="000E62CA">
          <w:rPr>
            <w:rStyle w:val="Hyperlink"/>
          </w:rPr>
          <w:t>http://stix.mitre.org/about/documents/Characterizing_Malware_MAEC_and_STIX_v1.0.pdf</w:t>
        </w:r>
      </w:hyperlink>
      <w:r w:rsidR="00F64287">
        <w:t xml:space="preserve">. </w:t>
      </w:r>
    </w:p>
    <w:p w14:paraId="7083E76E" w14:textId="495D768E" w:rsidR="000F341C" w:rsidRDefault="000F341C" w:rsidP="00F64287">
      <w:pPr>
        <w:pStyle w:val="Ref"/>
        <w:rPr>
          <w:rStyle w:val="Hyperlink"/>
        </w:rPr>
      </w:pPr>
      <w:r>
        <w:rPr>
          <w:b/>
        </w:rPr>
        <w:t>[</w:t>
      </w:r>
      <w:bookmarkStart w:id="53" w:name="STIXW"/>
      <w:r w:rsidRPr="000F341C">
        <w:rPr>
          <w:b/>
        </w:rPr>
        <w:t>STIX-W</w:t>
      </w:r>
      <w:bookmarkEnd w:id="53"/>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commentRangeStart w:id="54"/>
      <w:r w:rsidR="0096682B">
        <w:fldChar w:fldCharType="begin"/>
      </w:r>
      <w:r w:rsidR="0096682B">
        <w:instrText xml:space="preserve"> HYPERLINK "http://stix.mitre.org/about/documents/STIX_Whitepaper_v1.1.pdf" </w:instrText>
      </w:r>
      <w:r w:rsidR="0096682B">
        <w:fldChar w:fldCharType="separate"/>
      </w:r>
      <w:r w:rsidRPr="0047412A">
        <w:rPr>
          <w:rStyle w:val="Hyperlink"/>
        </w:rPr>
        <w:t>http://stix.mitre.org/about/documents/STIX_Whitepaper_v1.1.pdf</w:t>
      </w:r>
      <w:r w:rsidR="0096682B">
        <w:rPr>
          <w:rStyle w:val="Hyperlink"/>
        </w:rPr>
        <w:fldChar w:fldCharType="end"/>
      </w:r>
      <w:commentRangeEnd w:id="54"/>
      <w:r w:rsidR="0096682B">
        <w:rPr>
          <w:rStyle w:val="CommentReference"/>
          <w:bCs w:val="0"/>
          <w:color w:val="auto"/>
        </w:rPr>
        <w:commentReference w:id="54"/>
      </w:r>
    </w:p>
    <w:p w14:paraId="44D97ECF" w14:textId="23F6D39C" w:rsidR="00581416" w:rsidRPr="00F64287" w:rsidRDefault="00581416" w:rsidP="00F64287">
      <w:pPr>
        <w:pStyle w:val="Ref"/>
      </w:pPr>
      <w:r>
        <w:rPr>
          <w:b/>
        </w:rPr>
        <w:t>[</w:t>
      </w:r>
      <w:bookmarkStart w:id="55" w:name="UML241"/>
      <w:r w:rsidRPr="00581416">
        <w:rPr>
          <w:b/>
        </w:rPr>
        <w:t>UML-2.4.1</w:t>
      </w:r>
      <w:bookmarkEnd w:id="55"/>
      <w:r>
        <w:t>]</w:t>
      </w:r>
      <w:r>
        <w:tab/>
        <w:t xml:space="preserve">Documents associated with Unified </w:t>
      </w:r>
      <w:r w:rsidR="00451E41">
        <w:t>Modeling Language (UML), V2.4.1.</w:t>
      </w:r>
      <w:r>
        <w:t xml:space="preserve"> </w:t>
      </w:r>
      <w:r w:rsidR="00451E41">
        <w:t xml:space="preserve">(Aug. 2011). The Object Management Group (OMG). [Online]. Available: </w:t>
      </w:r>
      <w:hyperlink r:id="rId57"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6" w:name="_Ref427252903"/>
      <w:bookmarkStart w:id="57" w:name="_Toc428208132"/>
      <w:r>
        <w:lastRenderedPageBreak/>
        <w:t>Language Modularity</w:t>
      </w:r>
      <w:bookmarkEnd w:id="56"/>
      <w:bookmarkEnd w:id="57"/>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FC585E" w:rsidRPr="004D78D4">
        <w:rPr>
          <w:b/>
          <w:bCs/>
          <w:color w:val="0000EE"/>
        </w:rPr>
        <w:t>Figure 2</w:t>
      </w:r>
      <w:r w:rsidR="00FC585E" w:rsidRPr="004D78D4">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FC585E" w:rsidRPr="004D78D4">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FC585E" w:rsidRPr="004D78D4">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FC585E" w:rsidRPr="004D78D4">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FC585E" w:rsidRPr="004D78D4">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FC585E" w:rsidRPr="004D78D4">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FC585E" w:rsidRPr="004D78D4">
        <w:rPr>
          <w:b/>
          <w:color w:val="0000EE"/>
        </w:rPr>
        <w:t>2.5</w:t>
      </w:r>
      <w:r w:rsidRPr="004D78D4">
        <w:rPr>
          <w:b/>
          <w:color w:val="0000EE"/>
        </w:rPr>
        <w:fldChar w:fldCharType="end"/>
      </w:r>
      <w:r>
        <w:t xml:space="preserve">). </w:t>
      </w:r>
    </w:p>
    <w:p w14:paraId="3FE5241B" w14:textId="77777777" w:rsidR="00015A05" w:rsidRDefault="00015A05" w:rsidP="00015A05">
      <w:pPr>
        <w:autoSpaceDE w:val="0"/>
        <w:autoSpaceDN w:val="0"/>
        <w:adjustRightInd w:val="0"/>
        <w:jc w:val="center"/>
        <w:rPr>
          <w:sz w:val="23"/>
          <w:szCs w:val="23"/>
        </w:rPr>
      </w:pPr>
      <w:r>
        <w:rPr>
          <w:noProof/>
          <w:sz w:val="23"/>
          <w:szCs w:val="23"/>
        </w:rPr>
        <w:drawing>
          <wp:inline distT="0" distB="0" distL="0" distR="0" wp14:anchorId="13F9011B" wp14:editId="120D8C1B">
            <wp:extent cx="3876675" cy="270210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902401" cy="2720037"/>
                    </a:xfrm>
                    <a:prstGeom prst="rect">
                      <a:avLst/>
                    </a:prstGeom>
                    <a:noFill/>
                  </pic:spPr>
                </pic:pic>
              </a:graphicData>
            </a:graphic>
          </wp:inline>
        </w:drawing>
      </w:r>
    </w:p>
    <w:p w14:paraId="54A6FE84" w14:textId="77777777" w:rsidR="00015A05" w:rsidRPr="00015A05" w:rsidRDefault="00015A05" w:rsidP="00236A31">
      <w:pPr>
        <w:pStyle w:val="Caption"/>
      </w:pPr>
      <w:bookmarkStart w:id="58" w:name="_Ref389738758"/>
      <w:r w:rsidRPr="00015A05">
        <w:t xml:space="preserve">Figure </w:t>
      </w:r>
      <w:r w:rsidR="00990CA7">
        <w:fldChar w:fldCharType="begin"/>
      </w:r>
      <w:r w:rsidR="00990CA7">
        <w:instrText xml:space="preserve"> STYLEREF 1 \s </w:instrText>
      </w:r>
      <w:r w:rsidR="00990CA7">
        <w:fldChar w:fldCharType="separate"/>
      </w:r>
      <w:r w:rsidRPr="00015A05">
        <w:rPr>
          <w:noProof/>
        </w:rPr>
        <w:t>2</w:t>
      </w:r>
      <w:r w:rsidR="00990CA7">
        <w:rPr>
          <w:noProof/>
        </w:rPr>
        <w:fldChar w:fldCharType="end"/>
      </w:r>
      <w:r w:rsidRPr="00015A05">
        <w:noBreakHyphen/>
      </w:r>
      <w:r w:rsidR="00990CA7">
        <w:fldChar w:fldCharType="begin"/>
      </w:r>
      <w:r w:rsidR="00990CA7">
        <w:instrText xml:space="preserve"> SEQ Figure \* ARABIC \s 1 </w:instrText>
      </w:r>
      <w:r w:rsidR="00990CA7">
        <w:fldChar w:fldCharType="separate"/>
      </w:r>
      <w:r w:rsidRPr="00015A05">
        <w:rPr>
          <w:noProof/>
        </w:rPr>
        <w:t>1</w:t>
      </w:r>
      <w:r w:rsidR="00990CA7">
        <w:rPr>
          <w:noProof/>
        </w:rPr>
        <w:fldChar w:fldCharType="end"/>
      </w:r>
      <w:bookmarkEnd w:id="58"/>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FC585E" w:rsidRPr="004D78D4">
        <w:rPr>
          <w:b/>
          <w:color w:val="0000EE"/>
        </w:rPr>
        <w:t xml:space="preserve">Figure </w:t>
      </w:r>
      <w:r w:rsidR="00FC585E" w:rsidRPr="004D78D4">
        <w:rPr>
          <w:b/>
          <w:noProof/>
          <w:color w:val="0000EE"/>
        </w:rPr>
        <w:t>2</w:t>
      </w:r>
      <w:r w:rsidR="00FC585E" w:rsidRPr="004D78D4">
        <w:rPr>
          <w:b/>
          <w:color w:val="0000EE"/>
        </w:rPr>
        <w:noBreakHyphen/>
      </w:r>
      <w:r w:rsidR="00FC585E" w:rsidRPr="004D78D4">
        <w:rPr>
          <w:b/>
          <w:noProof/>
          <w:color w:val="0000EE"/>
        </w:rPr>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9" w:name="_Ref427251669"/>
      <w:bookmarkStart w:id="60" w:name="_Toc428208133"/>
      <w:r>
        <w:t>Core Data Model</w:t>
      </w:r>
      <w:bookmarkEnd w:id="59"/>
      <w:bookmarkEnd w:id="60"/>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61" w:name="_Ref427251679"/>
      <w:bookmarkStart w:id="62" w:name="_Toc428208134"/>
      <w:r>
        <w:t>Common Data Model</w:t>
      </w:r>
      <w:bookmarkEnd w:id="61"/>
      <w:bookmarkEnd w:id="62"/>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3" w:name="_Ref427251602"/>
      <w:bookmarkStart w:id="64" w:name="_Toc428208135"/>
      <w:r>
        <w:t>Component Data Models</w:t>
      </w:r>
      <w:bookmarkEnd w:id="63"/>
      <w:bookmarkEnd w:id="64"/>
    </w:p>
    <w:p w14:paraId="435FC391" w14:textId="17C4311B"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 xml:space="preserve">In the STIX </w:t>
      </w:r>
      <w:r>
        <w:lastRenderedPageBreak/>
        <w:t>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4D78D4" w:rsidRPr="004D78D4">
        <w:rPr>
          <w:b/>
          <w:color w:val="0000EE"/>
        </w:rPr>
        <w:t xml:space="preserve">Figure </w:t>
      </w:r>
      <w:r w:rsidR="004D78D4" w:rsidRPr="004D78D4">
        <w:rPr>
          <w:b/>
          <w:noProof/>
          <w:color w:val="0000EE"/>
        </w:rPr>
        <w:t>2</w:t>
      </w:r>
      <w:r w:rsidR="004D78D4" w:rsidRPr="004D78D4">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4D78D4">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5" w:name="_Toc428208136"/>
      <w:r>
        <w:t>Observable</w:t>
      </w:r>
      <w:bookmarkEnd w:id="65"/>
    </w:p>
    <w:p w14:paraId="3A147D4F" w14:textId="74617056"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fldChar w:fldCharType="begin"/>
      </w:r>
      <w:r>
        <w:instrText xml:space="preserve"> REF _Ref404274938 \r \h </w:instrText>
      </w:r>
      <w:r>
        <w:fldChar w:fldCharType="separate"/>
      </w:r>
      <w:r>
        <w:t>4.4</w:t>
      </w:r>
      <w: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6" w:name="_Toc428208137"/>
      <w:r>
        <w:t>Indicator</w:t>
      </w:r>
      <w:bookmarkEnd w:id="66"/>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7" w:name="_Toc428208138"/>
      <w:r>
        <w:t>Incident</w:t>
      </w:r>
      <w:bookmarkEnd w:id="67"/>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9">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8" w:name="_Ref389653719"/>
      <w:bookmarkStart w:id="69" w:name="_Ref389859843"/>
      <w:bookmarkStart w:id="70" w:name="_Ref417205532"/>
      <w:r w:rsidRPr="00A91314">
        <w:rPr>
          <w:b/>
        </w:rPr>
        <w:t xml:space="preserve">Figure </w:t>
      </w:r>
      <w:r>
        <w:rPr>
          <w:b/>
        </w:rPr>
        <w:fldChar w:fldCharType="begin"/>
      </w:r>
      <w:r>
        <w:rPr>
          <w:b/>
        </w:rPr>
        <w:instrText xml:space="preserve"> STYLEREF 1 \s </w:instrText>
      </w:r>
      <w:r>
        <w:rPr>
          <w:b/>
        </w:rPr>
        <w:fldChar w:fldCharType="separate"/>
      </w:r>
      <w:r>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2</w:t>
      </w:r>
      <w:r>
        <w:rPr>
          <w:b/>
        </w:rPr>
        <w:fldChar w:fldCharType="end"/>
      </w:r>
      <w:bookmarkEnd w:id="68"/>
      <w:r w:rsidRPr="001829C5">
        <w:t xml:space="preserve">. </w:t>
      </w:r>
      <w:r>
        <w:t xml:space="preserve">A STIX Package encompasses the STIX individual component </w:t>
      </w:r>
      <w:bookmarkEnd w:id="69"/>
      <w:r>
        <w:t>data models</w:t>
      </w:r>
      <w:bookmarkEnd w:id="70"/>
    </w:p>
    <w:p w14:paraId="2A68A933" w14:textId="77777777" w:rsidR="00FB0E36" w:rsidRDefault="00FB0E36" w:rsidP="00FB0E36">
      <w:pPr>
        <w:pStyle w:val="Heading3"/>
      </w:pPr>
      <w:bookmarkStart w:id="71" w:name="_Toc428208139"/>
      <w:r>
        <w:lastRenderedPageBreak/>
        <w:t>Tactic, Techniques and Procedures (TTP)</w:t>
      </w:r>
      <w:bookmarkEnd w:id="71"/>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2" w:name="_Toc428208140"/>
      <w:r>
        <w:t>Campaign</w:t>
      </w:r>
      <w:bookmarkEnd w:id="72"/>
    </w:p>
    <w:p w14:paraId="77DF6826" w14:textId="6636790F" w:rsidR="00FB0E36" w:rsidRPr="00FB0E36" w:rsidRDefault="00FB0E36" w:rsidP="00FB0E36">
      <w:r w:rsidRPr="00EE6BE1">
        <w:t xml:space="preserve">A STIX </w:t>
      </w:r>
      <w:hyperlink r:id="rId60"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3" w:name="_Toc428208141"/>
      <w:r>
        <w:t>Threat Actor</w:t>
      </w:r>
      <w:bookmarkEnd w:id="73"/>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4" w:name="_Toc428208142"/>
      <w:r>
        <w:t>Exploit Target</w:t>
      </w:r>
      <w:bookmarkEnd w:id="74"/>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5" w:name="_Toc428208143"/>
      <w:r>
        <w:t>Course of Action (COA)</w:t>
      </w:r>
      <w:bookmarkEnd w:id="75"/>
    </w:p>
    <w:p w14:paraId="35C2E8D0" w14:textId="5563E8DC" w:rsidR="00FB0E36" w:rsidRPr="00FB0E36" w:rsidRDefault="00FB0E36" w:rsidP="00FB0E36">
      <w:r w:rsidRPr="00791A64">
        <w:t xml:space="preserve">A STIX </w:t>
      </w:r>
      <w:hyperlink r:id="rId61"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6" w:name="_Toc428208144"/>
      <w:r>
        <w:t>Report</w:t>
      </w:r>
      <w:bookmarkEnd w:id="76"/>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7" w:name="_Ref427251707"/>
      <w:bookmarkStart w:id="78" w:name="_Toc428208145"/>
      <w:r>
        <w:t>Data Marking Data Model</w:t>
      </w:r>
      <w:bookmarkEnd w:id="77"/>
      <w:bookmarkEnd w:id="78"/>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9" w:name="_Ref404938597"/>
      <w:bookmarkStart w:id="80" w:name="_Toc421724790"/>
      <w:bookmarkStart w:id="81" w:name="_Toc428208146"/>
      <w:r>
        <w:t>Default Extensions</w:t>
      </w:r>
      <w:bookmarkEnd w:id="79"/>
      <w:r>
        <w:t xml:space="preserve"> Data Model</w:t>
      </w:r>
      <w:bookmarkEnd w:id="80"/>
      <w:bookmarkEnd w:id="81"/>
    </w:p>
    <w:p w14:paraId="33CC4D5C" w14:textId="741B847E"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Pr>
          <w:lang w:val="en"/>
        </w:rPr>
        <w:fldChar w:fldCharType="begin"/>
      </w:r>
      <w:r>
        <w:rPr>
          <w:lang w:val="en"/>
        </w:rPr>
        <w:instrText xml:space="preserve"> REF _Ref404274938 \r \h </w:instrText>
      </w:r>
      <w:r>
        <w:rPr>
          <w:lang w:val="en"/>
        </w:rPr>
      </w:r>
      <w:r>
        <w:rPr>
          <w:lang w:val="en"/>
        </w:rPr>
        <w:fldChar w:fldCharType="separate"/>
      </w:r>
      <w:r w:rsidR="00BA4464">
        <w:rPr>
          <w:lang w:val="en"/>
        </w:rPr>
        <w:t>4.4</w:t>
      </w:r>
      <w:r>
        <w:rPr>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7180F47F" w:rsidR="00FB0E36" w:rsidRDefault="00FB0E36" w:rsidP="00FB0E36">
      <w:pPr>
        <w:spacing w:after="240"/>
      </w:pPr>
      <w:r>
        <w:lastRenderedPageBreak/>
        <w:t>High level summary information is given in Section</w:t>
      </w:r>
      <w:r w:rsidR="00BA4464">
        <w:t xml:space="preserve"> </w:t>
      </w:r>
      <w:r w:rsidR="00BA4464">
        <w:fldChar w:fldCharType="begin"/>
      </w:r>
      <w:r w:rsidR="00BA4464">
        <w:instrText xml:space="preserve"> REF _Ref427252564 \r \h </w:instrText>
      </w:r>
      <w:r w:rsidR="00BA4464">
        <w:fldChar w:fldCharType="separate"/>
      </w:r>
      <w:r w:rsidR="00BA4464">
        <w:t>4</w:t>
      </w:r>
      <w:r w:rsidR="00BA4464">
        <w:fldChar w:fldCharType="end"/>
      </w:r>
      <w:r>
        <w:t>. Please see</w:t>
      </w:r>
      <w:r w:rsidR="00942D23">
        <w:t xml:space="preserve"> </w:t>
      </w:r>
      <w:hyperlink w:anchor="AdditionalArtifacts" w:history="1">
        <w:r w:rsidR="00942D23" w:rsidRPr="00942D23">
          <w:rPr>
            <w:rStyle w:val="Hyperlink"/>
            <w:i/>
          </w:rPr>
          <w:t>STIX Version 1.2.1 Part 12: 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2" w:name="_Ref404938565"/>
      <w:bookmarkStart w:id="83" w:name="_Toc421724791"/>
      <w:bookmarkStart w:id="84" w:name="_Toc428208147"/>
      <w:r>
        <w:t>Default Vocabularies</w:t>
      </w:r>
      <w:bookmarkEnd w:id="82"/>
      <w:bookmarkEnd w:id="83"/>
      <w:bookmarkEnd w:id="84"/>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5" w:name="_Toc421724792"/>
      <w:bookmarkStart w:id="86" w:name="_Toc428208148"/>
      <w:r>
        <w:t>Basic Data Types</w:t>
      </w:r>
      <w:bookmarkEnd w:id="85"/>
      <w:bookmarkEnd w:id="86"/>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77777777"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fldChar w:fldCharType="begin"/>
      </w:r>
      <w:r>
        <w:instrText xml:space="preserve"> REF _Ref417204726 \r \h </w:instrText>
      </w:r>
      <w:r>
        <w:fldChar w:fldCharType="separate"/>
      </w:r>
      <w:r w:rsidR="000562B6">
        <w:t>2.7.1</w:t>
      </w:r>
      <w:r>
        <w:fldChar w:fldCharType="end"/>
      </w:r>
      <w:r>
        <w:t xml:space="preserve"> and </w:t>
      </w:r>
      <w:r>
        <w:fldChar w:fldCharType="begin"/>
      </w:r>
      <w:r>
        <w:instrText xml:space="preserve"> REF _Ref417204737 \r \h </w:instrText>
      </w:r>
      <w:r>
        <w:fldChar w:fldCharType="separate"/>
      </w:r>
      <w:r w:rsidR="000562B6">
        <w:t>2.7.2</w:t>
      </w:r>
      <w:r>
        <w:fldChar w:fldCharType="end"/>
      </w:r>
      <w:r>
        <w:t>.</w:t>
      </w:r>
    </w:p>
    <w:p w14:paraId="4225CECC" w14:textId="77777777" w:rsidR="00FB0E36" w:rsidRDefault="00FB0E36" w:rsidP="00FB0E36">
      <w:pPr>
        <w:pStyle w:val="Heading3"/>
        <w:tabs>
          <w:tab w:val="num" w:pos="720"/>
        </w:tabs>
        <w:spacing w:before="360" w:after="60"/>
      </w:pPr>
      <w:bookmarkStart w:id="87" w:name="_Ref417204726"/>
      <w:bookmarkStart w:id="88" w:name="_Toc421724793"/>
      <w:bookmarkStart w:id="89" w:name="_Toc428208149"/>
      <w:r>
        <w:t>Common Basic Data Types</w:t>
      </w:r>
      <w:bookmarkEnd w:id="87"/>
      <w:bookmarkEnd w:id="88"/>
      <w:bookmarkEnd w:id="89"/>
    </w:p>
    <w:p w14:paraId="2D175B6F" w14:textId="5D48B841"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fldChar w:fldCharType="begin"/>
      </w:r>
      <w:r>
        <w:instrText xml:space="preserve"> REF _Ref417202734 \h </w:instrText>
      </w:r>
      <w:r>
        <w:fldChar w:fldCharType="separate"/>
      </w:r>
      <w:r w:rsidRPr="00305518">
        <w:t xml:space="preserve">Table </w:t>
      </w:r>
      <w:r>
        <w:rPr>
          <w:noProof/>
        </w:rPr>
        <w:t>2</w:t>
      </w:r>
      <w:r>
        <w:noBreakHyphen/>
      </w:r>
      <w:r>
        <w:rPr>
          <w:noProof/>
        </w:rPr>
        <w:t>1</w:t>
      </w:r>
      <w: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90" w:name="_Ref417202734"/>
      <w:r w:rsidRPr="00FB0E36">
        <w:t xml:space="preserve">Table </w:t>
      </w:r>
      <w:r w:rsidR="00990CA7">
        <w:fldChar w:fldCharType="begin"/>
      </w:r>
      <w:r w:rsidR="00990CA7">
        <w:instrText xml:space="preserve"> STYLEREF 1 \s </w:instrText>
      </w:r>
      <w:r w:rsidR="00990CA7">
        <w:fldChar w:fldCharType="separate"/>
      </w:r>
      <w:r w:rsidRPr="00FB0E36">
        <w:rPr>
          <w:noProof/>
        </w:rPr>
        <w:t>2</w:t>
      </w:r>
      <w:r w:rsidR="00990CA7">
        <w:rPr>
          <w:noProof/>
        </w:rPr>
        <w:fldChar w:fldCharType="end"/>
      </w:r>
      <w:r w:rsidRPr="00FB0E36">
        <w:noBreakHyphen/>
      </w:r>
      <w:r w:rsidR="00990CA7">
        <w:fldChar w:fldCharType="begin"/>
      </w:r>
      <w:r w:rsidR="00990CA7">
        <w:instrText xml:space="preserve"> SEQ Table \* ARABIC \s 1 </w:instrText>
      </w:r>
      <w:r w:rsidR="00990CA7">
        <w:fldChar w:fldCharType="separate"/>
      </w:r>
      <w:r w:rsidRPr="00FB0E36">
        <w:rPr>
          <w:noProof/>
        </w:rPr>
        <w:t>1</w:t>
      </w:r>
      <w:r w:rsidR="00990CA7">
        <w:rPr>
          <w:noProof/>
        </w:rPr>
        <w:fldChar w:fldCharType="end"/>
      </w:r>
      <w:bookmarkEnd w:id="90"/>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91" w:name="_Ref417204737"/>
      <w:bookmarkStart w:id="92" w:name="_Toc421724794"/>
      <w:bookmarkStart w:id="93" w:name="_Toc428208150"/>
      <w:r>
        <w:t>Specializations of the BasicString Data Type</w:t>
      </w:r>
      <w:bookmarkEnd w:id="91"/>
      <w:bookmarkEnd w:id="92"/>
      <w:bookmarkEnd w:id="93"/>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Pr="00305518">
        <w:t xml:space="preserve">Table </w:t>
      </w:r>
      <w:r>
        <w:rPr>
          <w:noProof/>
        </w:rPr>
        <w:t>2</w:t>
      </w:r>
      <w:r>
        <w:noBreakHyphen/>
      </w:r>
      <w:r>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4" w:name="_Ref417204313"/>
      <w:r w:rsidRPr="00305518">
        <w:t xml:space="preserve">Table </w:t>
      </w:r>
      <w:r w:rsidR="00990CA7">
        <w:fldChar w:fldCharType="begin"/>
      </w:r>
      <w:r w:rsidR="00990CA7">
        <w:instrText xml:space="preserve"> STYLEREF 1 \s </w:instrText>
      </w:r>
      <w:r w:rsidR="00990CA7">
        <w:fldChar w:fldCharType="separate"/>
      </w:r>
      <w:r>
        <w:rPr>
          <w:noProof/>
        </w:rPr>
        <w:t>2</w:t>
      </w:r>
      <w:r w:rsidR="00990CA7">
        <w:rPr>
          <w:noProof/>
        </w:rPr>
        <w:fldChar w:fldCharType="end"/>
      </w:r>
      <w:r>
        <w:noBreakHyphen/>
      </w:r>
      <w:r w:rsidR="00990CA7">
        <w:fldChar w:fldCharType="begin"/>
      </w:r>
      <w:r w:rsidR="00990CA7">
        <w:instrText xml:space="preserve"> SEQ Table \* ARABIC \s 1 </w:instrText>
      </w:r>
      <w:r w:rsidR="00990CA7">
        <w:fldChar w:fldCharType="separate"/>
      </w:r>
      <w:r>
        <w:rPr>
          <w:noProof/>
        </w:rPr>
        <w:t>2</w:t>
      </w:r>
      <w:r w:rsidR="00990CA7">
        <w:rPr>
          <w:noProof/>
        </w:rPr>
        <w:fldChar w:fldCharType="end"/>
      </w:r>
      <w:bookmarkEnd w:id="94"/>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5" w:name="_Ref427252917"/>
      <w:bookmarkStart w:id="96" w:name="_Toc428208151"/>
      <w:bookmarkStart w:id="97" w:name="_Toc287332011"/>
      <w:r>
        <w:lastRenderedPageBreak/>
        <w:t>Data Model Conventions</w:t>
      </w:r>
      <w:bookmarkEnd w:id="95"/>
      <w:bookmarkEnd w:id="96"/>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8" w:name="_Toc421724796"/>
      <w:bookmarkStart w:id="99" w:name="_Toc428208152"/>
      <w:r>
        <w:t>UML Packages</w:t>
      </w:r>
      <w:bookmarkEnd w:id="98"/>
      <w:bookmarkEnd w:id="99"/>
    </w:p>
    <w:p w14:paraId="5D8ED04C" w14:textId="02FB213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Pr="00CB134F">
        <w:rPr>
          <w:b/>
          <w:color w:val="0000EE"/>
          <w:szCs w:val="20"/>
        </w:rPr>
        <w:t xml:space="preserve">Table </w:t>
      </w:r>
      <w:r w:rsidRPr="00CB134F">
        <w:rPr>
          <w:b/>
          <w:noProof/>
          <w:color w:val="0000EE"/>
          <w:szCs w:val="20"/>
        </w:rPr>
        <w:t>3</w:t>
      </w:r>
      <w:r w:rsidRPr="00CB134F">
        <w:rPr>
          <w:b/>
          <w:color w:val="0000EE"/>
          <w:szCs w:val="20"/>
        </w:rPr>
        <w:noBreakHyphen/>
      </w:r>
      <w:r w:rsidRPr="00CB134F">
        <w:rPr>
          <w:b/>
          <w:noProof/>
          <w:color w:val="0000EE"/>
          <w:szCs w:val="20"/>
        </w:rPr>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 </w:t>
      </w:r>
      <w:r w:rsidRPr="00CB134F">
        <w:rPr>
          <w:b/>
          <w:color w:val="0000EE"/>
          <w:szCs w:val="20"/>
        </w:rPr>
        <w:fldChar w:fldCharType="begin"/>
      </w:r>
      <w:r w:rsidRPr="00CB134F">
        <w:rPr>
          <w:b/>
          <w:color w:val="0000EE"/>
          <w:szCs w:val="20"/>
        </w:rPr>
        <w:instrText xml:space="preserve"> REF _Ref415227322 \r \h  \* MERGEFORMAT </w:instrText>
      </w:r>
      <w:r w:rsidRPr="00CB134F">
        <w:rPr>
          <w:b/>
          <w:color w:val="0000EE"/>
          <w:szCs w:val="20"/>
        </w:rPr>
      </w:r>
      <w:r w:rsidRPr="00CB134F">
        <w:rPr>
          <w:b/>
          <w:color w:val="0000EE"/>
          <w:szCs w:val="20"/>
        </w:rPr>
        <w:fldChar w:fldCharType="separate"/>
      </w:r>
      <w:r w:rsidRPr="00CB134F">
        <w:rPr>
          <w:b/>
          <w:color w:val="0000EE"/>
          <w:szCs w:val="20"/>
        </w:rPr>
        <w:t>2</w:t>
      </w:r>
      <w:r w:rsidRPr="00CB134F">
        <w:rPr>
          <w:b/>
          <w:color w:val="0000EE"/>
          <w:szCs w:val="20"/>
        </w:rPr>
        <w:fldChar w:fldCharType="end"/>
      </w:r>
      <w:r w:rsidRPr="00236A31">
        <w:rPr>
          <w:szCs w:val="20"/>
        </w:rPr>
        <w:t>.</w:t>
      </w:r>
    </w:p>
    <w:p w14:paraId="5453D36B" w14:textId="77777777" w:rsidR="00236A31" w:rsidRDefault="00236A31" w:rsidP="00236A31">
      <w:pPr>
        <w:pStyle w:val="Caption"/>
        <w:rPr>
          <w:b/>
        </w:rPr>
      </w:pPr>
      <w:bookmarkStart w:id="100" w:name="_Ref396992627"/>
      <w:r w:rsidRPr="00305518">
        <w:t xml:space="preserve">Table </w:t>
      </w:r>
      <w:r w:rsidR="00990CA7">
        <w:fldChar w:fldCharType="begin"/>
      </w:r>
      <w:r w:rsidR="00990CA7">
        <w:instrText xml:space="preserve"> STYLEREF 1 \s </w:instrText>
      </w:r>
      <w:r w:rsidR="00990CA7">
        <w:fldChar w:fldCharType="separate"/>
      </w:r>
      <w:r>
        <w:rPr>
          <w:noProof/>
        </w:rPr>
        <w:t>3</w:t>
      </w:r>
      <w:r w:rsidR="00990CA7">
        <w:rPr>
          <w:noProof/>
        </w:rPr>
        <w:fldChar w:fldCharType="end"/>
      </w:r>
      <w:r>
        <w:noBreakHyphen/>
      </w:r>
      <w:r w:rsidR="00990CA7">
        <w:fldChar w:fldCharType="begin"/>
      </w:r>
      <w:r w:rsidR="00990CA7">
        <w:instrText xml:space="preserve"> SEQ Table \* ARABIC \s 1 </w:instrText>
      </w:r>
      <w:r w:rsidR="00990CA7">
        <w:fldChar w:fldCharType="separate"/>
      </w:r>
      <w:r>
        <w:rPr>
          <w:noProof/>
        </w:rPr>
        <w:t>1</w:t>
      </w:r>
      <w:r w:rsidR="00990CA7">
        <w:rPr>
          <w:noProof/>
        </w:rPr>
        <w:fldChar w:fldCharType="end"/>
      </w:r>
      <w:bookmarkEnd w:id="100"/>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7777777" w:rsidR="00236A31" w:rsidRPr="00DA6582" w:rsidRDefault="00236A31" w:rsidP="00AB4D6E">
            <w:pPr>
              <w:rPr>
                <w:color w:val="FFFFFF" w:themeColor="background1"/>
              </w:rPr>
            </w:pPr>
            <w:r>
              <w:t>Various packages are used by STIX extentions. Details are given in [STIX</w:t>
            </w:r>
            <w:r w:rsidRPr="005341A1">
              <w:rPr>
                <w:vertAlign w:val="subscript"/>
              </w:rPr>
              <w:t>EXT</w:t>
            </w:r>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101" w:name="_Toc421724797"/>
      <w:bookmarkStart w:id="102" w:name="_Toc428208153"/>
      <w:r>
        <w:lastRenderedPageBreak/>
        <w:t>Naming Conventions</w:t>
      </w:r>
      <w:bookmarkEnd w:id="101"/>
      <w:bookmarkEnd w:id="102"/>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Pr="00305518">
        <w:t xml:space="preserve">Table </w:t>
      </w:r>
      <w:r>
        <w:rPr>
          <w:noProof/>
        </w:rPr>
        <w:t>3</w:t>
      </w:r>
      <w:r>
        <w:noBreakHyphen/>
      </w:r>
      <w:r>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03" w:name="_Ref404253845"/>
      <w:r w:rsidRPr="00236A31">
        <w:t xml:space="preserve">Table </w:t>
      </w:r>
      <w:r w:rsidR="00990CA7">
        <w:fldChar w:fldCharType="begin"/>
      </w:r>
      <w:r w:rsidR="00990CA7">
        <w:instrText xml:space="preserve"> STYLEREF 1 \s </w:instrText>
      </w:r>
      <w:r w:rsidR="00990CA7">
        <w:fldChar w:fldCharType="separate"/>
      </w:r>
      <w:r w:rsidRPr="00236A31">
        <w:rPr>
          <w:noProof/>
        </w:rPr>
        <w:t>3</w:t>
      </w:r>
      <w:r w:rsidR="00990CA7">
        <w:rPr>
          <w:noProof/>
        </w:rPr>
        <w:fldChar w:fldCharType="end"/>
      </w:r>
      <w:r w:rsidRPr="00236A31">
        <w:noBreakHyphen/>
      </w:r>
      <w:r w:rsidR="00990CA7">
        <w:fldChar w:fldCharType="begin"/>
      </w:r>
      <w:r w:rsidR="00990CA7">
        <w:instrText xml:space="preserve"> SEQ Table \* ARABIC \s 1 </w:instrText>
      </w:r>
      <w:r w:rsidR="00990CA7">
        <w:fldChar w:fldCharType="separate"/>
      </w:r>
      <w:r w:rsidRPr="00236A31">
        <w:rPr>
          <w:noProof/>
        </w:rPr>
        <w:t>2</w:t>
      </w:r>
      <w:r w:rsidR="00990CA7">
        <w:rPr>
          <w:noProof/>
        </w:rPr>
        <w:fldChar w:fldCharType="end"/>
      </w:r>
      <w:bookmarkEnd w:id="103"/>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4" w:name="_Toc421724798"/>
      <w:bookmarkStart w:id="105" w:name="_Toc428208154"/>
      <w:bookmarkStart w:id="106" w:name="_Ref400990175"/>
      <w:r>
        <w:t>Identifiers</w:t>
      </w:r>
      <w:bookmarkEnd w:id="104"/>
      <w:bookmarkEnd w:id="105"/>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6"/>
    <w:p w14:paraId="18633C7C" w14:textId="77777777" w:rsidR="00236A31" w:rsidRPr="00BA4464" w:rsidRDefault="00236A31" w:rsidP="00236A31">
      <w:pPr>
        <w:spacing w:after="120"/>
        <w:rPr>
          <w:szCs w:val="20"/>
        </w:rPr>
      </w:pPr>
      <w:r w:rsidRPr="00BA4464">
        <w:rPr>
          <w:szCs w:val="20"/>
        </w:rPr>
        <w:t xml:space="preserve">In STIX v1.2,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7" w:name="_Ref427252564"/>
      <w:bookmarkStart w:id="108" w:name="_Toc428208155"/>
      <w:r>
        <w:lastRenderedPageBreak/>
        <w:t>Relationships to Other Externally-defined Data Models</w:t>
      </w:r>
      <w:bookmarkEnd w:id="107"/>
      <w:bookmarkEnd w:id="108"/>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113570A7" w:rsidR="00236A31" w:rsidRDefault="00236A31" w:rsidP="00236A31">
      <w:pPr>
        <w:spacing w:after="240"/>
      </w:pPr>
      <w:r>
        <w:t xml:space="preserve">Please see </w:t>
      </w:r>
      <w:hyperlink w:anchor="AdditionalArtifacts" w:history="1">
        <w:r w:rsidR="007C6F15" w:rsidRPr="007C6F15">
          <w:rPr>
            <w:rStyle w:val="Hyperlink"/>
            <w:i/>
          </w:rPr>
          <w:t>STIX Version 1.2.1 Part 12: Extensions</w:t>
        </w:r>
      </w:hyperlink>
      <w:r>
        <w:t xml:space="preserve"> for further information on all of the externally-defined data models STIX leverages by default (with the exception of CybOX, for which a different reference is given in Section </w:t>
      </w:r>
      <w:r>
        <w:fldChar w:fldCharType="begin"/>
      </w:r>
      <w:r>
        <w:instrText xml:space="preserve"> REF _Ref404274938 \r \h </w:instrText>
      </w:r>
      <w:r>
        <w:fldChar w:fldCharType="separate"/>
      </w:r>
      <w:r w:rsidR="00BA4464">
        <w:t>4.4</w:t>
      </w:r>
      <w:r>
        <w:fldChar w:fldCharType="end"/>
      </w:r>
      <w:r>
        <w:t>).</w:t>
      </w:r>
    </w:p>
    <w:p w14:paraId="6B59BFDC" w14:textId="77777777" w:rsidR="00236A31" w:rsidRDefault="00236A31" w:rsidP="00236A31">
      <w:pPr>
        <w:pStyle w:val="Heading2"/>
        <w:tabs>
          <w:tab w:val="num" w:pos="864"/>
        </w:tabs>
        <w:spacing w:before="360" w:after="60"/>
        <w:ind w:left="720" w:hanging="720"/>
      </w:pPr>
      <w:bookmarkStart w:id="109" w:name="_Toc421724800"/>
      <w:bookmarkStart w:id="110" w:name="_Toc428208156"/>
      <w:r>
        <w:t>Common Attack Pattern Enumeration and Classification (CAPEC)</w:t>
      </w:r>
      <w:bookmarkEnd w:id="109"/>
      <w:bookmarkEnd w:id="110"/>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11" w:name="_Toc421724801"/>
      <w:bookmarkStart w:id="112" w:name="_Toc428208157"/>
      <w:r>
        <w:t>Common Vulnerability Reporting Framework (CVRF)</w:t>
      </w:r>
      <w:bookmarkEnd w:id="111"/>
      <w:bookmarkEnd w:id="112"/>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3" w:name="_Toc421724802"/>
      <w:bookmarkStart w:id="114" w:name="_Toc428208158"/>
      <w:r>
        <w:t>Customer Information Quality (CIQ)</w:t>
      </w:r>
      <w:bookmarkEnd w:id="113"/>
      <w:bookmarkEnd w:id="114"/>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5" w:name="_Ref404274938"/>
      <w:bookmarkStart w:id="116" w:name="_Toc421724803"/>
      <w:bookmarkStart w:id="117" w:name="_Toc428208159"/>
      <w:r>
        <w:t xml:space="preserve">Cyber Observable </w:t>
      </w:r>
      <w:r w:rsidR="000F7084">
        <w:t xml:space="preserve">Expression </w:t>
      </w:r>
      <w:r>
        <w:t>(CybOX)</w:t>
      </w:r>
      <w:bookmarkEnd w:id="115"/>
      <w:bookmarkEnd w:id="116"/>
      <w:bookmarkEnd w:id="117"/>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8" w:name="_Toc421724804"/>
      <w:bookmarkStart w:id="119" w:name="_Toc428208160"/>
      <w:r>
        <w:t>Malware Attribute Enumeration and Characterization (MAEC)</w:t>
      </w:r>
      <w:bookmarkEnd w:id="118"/>
      <w:bookmarkEnd w:id="119"/>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20" w:name="_Toc421724805"/>
      <w:bookmarkStart w:id="121" w:name="_Toc428208161"/>
      <w:r>
        <w:t>Open Indicators of Compromise (OpenIOC)</w:t>
      </w:r>
      <w:bookmarkEnd w:id="120"/>
      <w:bookmarkEnd w:id="121"/>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2" w:name="_Toc421724806"/>
      <w:bookmarkStart w:id="123" w:name="_Toc428208162"/>
      <w:r>
        <w:t>Open Vulnerability and Assessment Language (OVAL)</w:t>
      </w:r>
      <w:bookmarkEnd w:id="122"/>
      <w:bookmarkEnd w:id="123"/>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2B02304F" w:rsidR="00AE0702" w:rsidRPr="00FD22AC" w:rsidRDefault="00AE0702" w:rsidP="00FD22AC">
      <w:pPr>
        <w:pStyle w:val="Heading1"/>
      </w:pPr>
      <w:bookmarkStart w:id="124" w:name="_Ref428179452"/>
      <w:bookmarkStart w:id="125" w:name="_Toc428208163"/>
      <w:r w:rsidRPr="00FD22AC">
        <w:lastRenderedPageBreak/>
        <w:t># Conformance</w:t>
      </w:r>
      <w:bookmarkEnd w:id="97"/>
      <w:bookmarkEnd w:id="124"/>
      <w:bookmarkEnd w:id="125"/>
    </w:p>
    <w:p w14:paraId="4C7F0665" w14:textId="77777777" w:rsidR="00AE0702" w:rsidRPr="00AE0702" w:rsidRDefault="00AE0702" w:rsidP="00AE0702">
      <w:r>
        <w:t xml:space="preserve">The last numbered section in the specification must be </w:t>
      </w:r>
      <w:commentRangeStart w:id="126"/>
      <w:r>
        <w:t>the Conformance section</w:t>
      </w:r>
      <w:commentRangeEnd w:id="126"/>
      <w:r w:rsidR="002D4614">
        <w:rPr>
          <w:rStyle w:val="CommentReference"/>
        </w:rPr>
        <w:commentReference w:id="126"/>
      </w:r>
      <w:r>
        <w:t>. Conformance Statements/Clauses go here.</w:t>
      </w:r>
      <w:r w:rsidR="00CE1F32">
        <w:t xml:space="preserve"> [Remove # marker]</w:t>
      </w:r>
    </w:p>
    <w:p w14:paraId="40252164" w14:textId="77777777" w:rsidR="0052099F" w:rsidRDefault="00B80CDB" w:rsidP="00CE1F32">
      <w:pPr>
        <w:pStyle w:val="AppendixHeading1"/>
      </w:pPr>
      <w:bookmarkStart w:id="127" w:name="_Toc85472897"/>
      <w:bookmarkStart w:id="128" w:name="_Toc287332012"/>
      <w:bookmarkStart w:id="129" w:name="_Toc428208164"/>
      <w:r>
        <w:lastRenderedPageBreak/>
        <w:t>Acknowl</w:t>
      </w:r>
      <w:r w:rsidR="004D0E5E">
        <w:t>e</w:t>
      </w:r>
      <w:r w:rsidR="008F61FB">
        <w:t>dg</w:t>
      </w:r>
      <w:r w:rsidR="0052099F">
        <w:t>ments</w:t>
      </w:r>
      <w:bookmarkEnd w:id="127"/>
      <w:bookmarkEnd w:id="128"/>
      <w:bookmarkEnd w:id="129"/>
    </w:p>
    <w:p w14:paraId="6B7EC4DB" w14:textId="77777777" w:rsidR="00C32606" w:rsidRDefault="00C32606" w:rsidP="00C32606">
      <w:r>
        <w:t>The following individuals have participated in the creation of this specification and are gratefully acknowledged:</w:t>
      </w:r>
    </w:p>
    <w:p w14:paraId="7952E2FE" w14:textId="77777777" w:rsidR="00C32606" w:rsidRDefault="00C32606" w:rsidP="00C32606">
      <w:pPr>
        <w:pStyle w:val="Titlepageinfo"/>
      </w:pPr>
      <w:commentRangeStart w:id="130"/>
      <w:r>
        <w:t>Participants</w:t>
      </w:r>
      <w:commentRangeEnd w:id="130"/>
      <w:r w:rsidR="005001A4">
        <w:rPr>
          <w:rStyle w:val="CommentReference"/>
          <w:b w:val="0"/>
          <w:color w:val="auto"/>
        </w:rPr>
        <w:commentReference w:id="130"/>
      </w:r>
      <w:r>
        <w:t>:</w:t>
      </w:r>
      <w:r>
        <w:fldChar w:fldCharType="begin"/>
      </w:r>
      <w:r>
        <w:instrText xml:space="preserve"> MACROBUTTON  </w:instrText>
      </w:r>
      <w:r>
        <w:fldChar w:fldCharType="end"/>
      </w:r>
    </w:p>
    <w:p w14:paraId="7BDB1797" w14:textId="77777777" w:rsidR="00C32606" w:rsidRDefault="001A7143" w:rsidP="00C32606">
      <w:pPr>
        <w:pStyle w:val="Contributor"/>
      </w:pPr>
      <w:r w:rsidRPr="001A7143">
        <w:t>[Participant Name, Affiliation | Individual Member]</w:t>
      </w:r>
    </w:p>
    <w:p w14:paraId="1F24FCA9" w14:textId="77777777" w:rsidR="00C32606" w:rsidRDefault="001A7143" w:rsidP="00C32606">
      <w:pPr>
        <w:pStyle w:val="Contributor"/>
      </w:pPr>
      <w:r w:rsidRPr="001A7143">
        <w:t>[Participant Name, Affiliation | Individual Member]</w:t>
      </w:r>
    </w:p>
    <w:p w14:paraId="68FD9C29" w14:textId="77777777" w:rsidR="00490DDE" w:rsidRDefault="00490DDE" w:rsidP="00C32606">
      <w:pPr>
        <w:pStyle w:val="Contributor"/>
      </w:pPr>
      <w:r>
        <w:t>The authors would like to thank the 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31" w:name="_Toc85472898"/>
      <w:bookmarkStart w:id="132" w:name="_Toc287332014"/>
      <w:bookmarkStart w:id="133" w:name="_Toc428208165"/>
      <w:r>
        <w:lastRenderedPageBreak/>
        <w:t>Revision History</w:t>
      </w:r>
      <w:bookmarkEnd w:id="131"/>
      <w:bookmarkEnd w:id="132"/>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1T13:21:00Z" w:initials="BDA">
    <w:p w14:paraId="7B309E66" w14:textId="2E7B78C2" w:rsidR="00446DAD" w:rsidRDefault="00446DAD">
      <w:pPr>
        <w:pStyle w:val="CommentText"/>
      </w:pPr>
      <w:r>
        <w:rPr>
          <w:rStyle w:val="CommentReference"/>
        </w:rPr>
        <w:annotationRef/>
      </w:r>
      <w:r>
        <w:t>Should this be “Default Extensions”?</w:t>
      </w:r>
    </w:p>
  </w:comment>
  <w:comment w:id="4" w:author="Barnum, Sean D." w:date="2015-08-24T14:39:00Z" w:initials="BS">
    <w:p w14:paraId="40114D10" w14:textId="7F24557A" w:rsidR="00A96D22" w:rsidRDefault="00A96D22">
      <w:pPr>
        <w:pStyle w:val="CommentText"/>
      </w:pPr>
      <w:r>
        <w:rPr>
          <w:rStyle w:val="CommentReference"/>
        </w:rPr>
        <w:annotationRef/>
      </w:r>
      <w:r>
        <w:t>Good point. This should probably be “Default Extensions” which would require the OASIS folks to change the official titles and URIs</w:t>
      </w:r>
    </w:p>
  </w:comment>
  <w:comment w:id="54" w:author="Beck, Desiree A." w:date="2015-08-24T19:31:00Z" w:initials="BDA">
    <w:p w14:paraId="0198F047" w14:textId="5EACDBEC" w:rsidR="0096682B" w:rsidRDefault="0096682B">
      <w:pPr>
        <w:pStyle w:val="CommentText"/>
      </w:pPr>
      <w:r>
        <w:rPr>
          <w:rStyle w:val="CommentReference"/>
        </w:rPr>
        <w:annotationRef/>
      </w:r>
      <w:r>
        <w:t>Possibly move white paper over to the github.io site or as OASIS about an appropriate place for it. (Sean’s comment)</w:t>
      </w:r>
    </w:p>
  </w:comment>
  <w:comment w:id="126" w:author="Chet Ensign" w:date="2015-08-17T22:16:00Z" w:initials="CE">
    <w:p w14:paraId="0D53B428" w14:textId="6FA1A444" w:rsidR="00446DAD" w:rsidRDefault="00446DAD">
      <w:pPr>
        <w:pStyle w:val="CommentText"/>
      </w:pPr>
      <w:r>
        <w:rPr>
          <w:rStyle w:val="CommentReference"/>
        </w:rPr>
        <w:annotationRef/>
      </w:r>
      <w:r>
        <w:t xml:space="preserve">Desiree, conformance clauses are statements of tests, if you will, by which an implementer can determine whether or not their implementation conforms to the specification. They typically refer back to the Normative statmeents made throughout the </w:t>
      </w:r>
      <w:r w:rsidR="0096682B">
        <w:t>specification. The</w:t>
      </w:r>
      <w:r>
        <w:t xml:space="preserve"> OASIS Technical Advisory Board (TAB) has written a document here providing guidelines on how to write them -&gt; </w:t>
      </w:r>
      <w:r w:rsidRPr="005001A4">
        <w:t>http://docs.oasis-open.org/templates/TCHandbook/ConformanceGuidelines.html</w:t>
      </w:r>
      <w:r>
        <w:t xml:space="preserve"> </w:t>
      </w:r>
    </w:p>
    <w:p w14:paraId="3AE49DD6" w14:textId="77777777" w:rsidR="00446DAD" w:rsidRDefault="00446DAD">
      <w:pPr>
        <w:pStyle w:val="CommentText"/>
      </w:pPr>
    </w:p>
    <w:p w14:paraId="64D9CBA9" w14:textId="77777777" w:rsidR="00446DAD" w:rsidRDefault="00446DAD">
      <w:pPr>
        <w:pStyle w:val="CommentText"/>
      </w:pPr>
      <w:r>
        <w:t xml:space="preserve">TAB members would be happy to give you ideas on how to draft conformance clauses for the spec as you work on it. </w:t>
      </w:r>
    </w:p>
    <w:p w14:paraId="485E6950" w14:textId="77777777" w:rsidR="00446DAD" w:rsidRDefault="00446DAD">
      <w:pPr>
        <w:pStyle w:val="CommentText"/>
      </w:pPr>
    </w:p>
    <w:p w14:paraId="04CB2D51" w14:textId="75EE0C65" w:rsidR="00446DAD" w:rsidRDefault="00446DAD">
      <w:pPr>
        <w:pStyle w:val="CommentText"/>
      </w:pPr>
      <w:r>
        <w:t xml:space="preserve">The reason conformance clauses are important is that they spell out what an implementation must or must not or may do in order to be a conforming implementation and thus be covered under the non-assertion mode of the TC.  </w:t>
      </w:r>
    </w:p>
  </w:comment>
  <w:comment w:id="130" w:author="Chet Ensign" w:date="2015-08-17T22:16:00Z" w:initials="CE">
    <w:p w14:paraId="5450B16A" w14:textId="4980814D" w:rsidR="00446DAD" w:rsidRDefault="00446DAD">
      <w:pPr>
        <w:pStyle w:val="CommentText"/>
      </w:pPr>
      <w:r>
        <w:rPr>
          <w:rStyle w:val="CommentReference"/>
        </w:rPr>
        <w:annotationRef/>
      </w:r>
      <w:r>
        <w:t xml:space="preserve">The Acknowledgments section should list all the OASIS members who participated in the development of the standard. The typical process is to list all the TC members and then ask anyone if they do *not* want to be listed. </w:t>
      </w:r>
    </w:p>
    <w:p w14:paraId="61ED4D8C" w14:textId="1F15855C" w:rsidR="00446DAD" w:rsidRDefault="00446DAD">
      <w:pPr>
        <w:pStyle w:val="CommentText"/>
      </w:pPr>
    </w:p>
    <w:p w14:paraId="17A9EBDF" w14:textId="77777777" w:rsidR="00446DAD" w:rsidRDefault="00446DAD">
      <w:pPr>
        <w:pStyle w:val="CommentText"/>
      </w:pPr>
      <w:r>
        <w:t xml:space="preserve">It is also ok to acknowledge the support of people (named or lumped in groups) outside OASIS who helped. This is typically done by adding a second paragraph and thanking them there.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09E66" w15:done="0"/>
  <w15:commentEx w15:paraId="40114D10" w15:done="0"/>
  <w15:commentEx w15:paraId="0198F047" w15:done="0"/>
  <w15:commentEx w15:paraId="04CB2D51" w15:done="0"/>
  <w15:commentEx w15:paraId="17A9EB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ADE95" w14:textId="77777777" w:rsidR="00990CA7" w:rsidRDefault="00990CA7" w:rsidP="008C100C">
      <w:r>
        <w:separator/>
      </w:r>
    </w:p>
    <w:p w14:paraId="3F49DB3D" w14:textId="77777777" w:rsidR="00990CA7" w:rsidRDefault="00990CA7" w:rsidP="008C100C"/>
    <w:p w14:paraId="0F6C7639" w14:textId="77777777" w:rsidR="00990CA7" w:rsidRDefault="00990CA7" w:rsidP="008C100C"/>
    <w:p w14:paraId="4F0031FC" w14:textId="77777777" w:rsidR="00990CA7" w:rsidRDefault="00990CA7" w:rsidP="008C100C"/>
    <w:p w14:paraId="558A831C" w14:textId="77777777" w:rsidR="00990CA7" w:rsidRDefault="00990CA7" w:rsidP="008C100C"/>
    <w:p w14:paraId="3DD4BEF6" w14:textId="77777777" w:rsidR="00990CA7" w:rsidRDefault="00990CA7" w:rsidP="008C100C"/>
    <w:p w14:paraId="25AEAB86" w14:textId="77777777" w:rsidR="00990CA7" w:rsidRDefault="00990CA7" w:rsidP="008C100C"/>
  </w:endnote>
  <w:endnote w:type="continuationSeparator" w:id="0">
    <w:p w14:paraId="78589E4A" w14:textId="77777777" w:rsidR="00990CA7" w:rsidRDefault="00990CA7" w:rsidP="008C100C">
      <w:r>
        <w:continuationSeparator/>
      </w:r>
    </w:p>
    <w:p w14:paraId="7ABD65C7" w14:textId="77777777" w:rsidR="00990CA7" w:rsidRDefault="00990CA7" w:rsidP="008C100C"/>
    <w:p w14:paraId="4EF68EE2" w14:textId="77777777" w:rsidR="00990CA7" w:rsidRDefault="00990CA7" w:rsidP="008C100C"/>
    <w:p w14:paraId="63D45D39" w14:textId="77777777" w:rsidR="00990CA7" w:rsidRDefault="00990CA7" w:rsidP="008C100C"/>
    <w:p w14:paraId="65094DD7" w14:textId="77777777" w:rsidR="00990CA7" w:rsidRDefault="00990CA7" w:rsidP="008C100C"/>
    <w:p w14:paraId="30FC0DCB" w14:textId="77777777" w:rsidR="00990CA7" w:rsidRDefault="00990CA7" w:rsidP="008C100C"/>
    <w:p w14:paraId="50A9F2AC" w14:textId="77777777" w:rsidR="00990CA7" w:rsidRDefault="00990CA7" w:rsidP="008C100C"/>
  </w:endnote>
  <w:endnote w:id="1">
    <w:p w14:paraId="005040F9" w14:textId="32247340" w:rsidR="00446DAD" w:rsidRDefault="00446DAD">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446DAD" w:rsidRDefault="00446DAD">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446DAD" w:rsidRPr="00195F88" w:rsidRDefault="00446DA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w:t>
    </w:r>
    <w:r w:rsidR="00773584">
      <w:rPr>
        <w:sz w:val="16"/>
        <w:szCs w:val="16"/>
        <w:lang w:val="en-US"/>
      </w:rPr>
      <w:t>4</w:t>
    </w:r>
    <w:r>
      <w:rPr>
        <w:sz w:val="16"/>
        <w:szCs w:val="16"/>
        <w:lang w:val="en-US"/>
      </w:rPr>
      <w:t xml:space="preserve"> August</w:t>
    </w:r>
    <w:r>
      <w:rPr>
        <w:sz w:val="16"/>
        <w:szCs w:val="16"/>
      </w:rPr>
      <w:t xml:space="preserve"> </w:t>
    </w:r>
    <w:r>
      <w:rPr>
        <w:sz w:val="16"/>
        <w:szCs w:val="16"/>
        <w:lang w:val="en-US"/>
      </w:rPr>
      <w:t>2015</w:t>
    </w:r>
  </w:p>
  <w:p w14:paraId="75298C75" w14:textId="77777777" w:rsidR="00446DAD" w:rsidRPr="00195F88" w:rsidRDefault="00446DA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A1387">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A1387">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32F43" w14:textId="77777777" w:rsidR="00990CA7" w:rsidRDefault="00990CA7" w:rsidP="008C100C">
      <w:r>
        <w:separator/>
      </w:r>
    </w:p>
    <w:p w14:paraId="06F8EF3E" w14:textId="77777777" w:rsidR="00990CA7" w:rsidRDefault="00990CA7" w:rsidP="008C100C"/>
  </w:footnote>
  <w:footnote w:type="continuationSeparator" w:id="0">
    <w:p w14:paraId="45F5BD95" w14:textId="77777777" w:rsidR="00990CA7" w:rsidRDefault="00990CA7" w:rsidP="008C100C">
      <w:r>
        <w:continuationSeparator/>
      </w:r>
    </w:p>
    <w:p w14:paraId="7F76CA00" w14:textId="77777777" w:rsidR="00990CA7" w:rsidRDefault="00990CA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6B0C"/>
    <w:rsid w:val="00177DED"/>
    <w:rsid w:val="001847BD"/>
    <w:rsid w:val="001945A5"/>
    <w:rsid w:val="00195F88"/>
    <w:rsid w:val="001A0A7E"/>
    <w:rsid w:val="001A2638"/>
    <w:rsid w:val="001A7143"/>
    <w:rsid w:val="001B103C"/>
    <w:rsid w:val="001B15DF"/>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B197B"/>
    <w:rsid w:val="002B7E99"/>
    <w:rsid w:val="002C0868"/>
    <w:rsid w:val="002D0FAE"/>
    <w:rsid w:val="002D1389"/>
    <w:rsid w:val="002D4614"/>
    <w:rsid w:val="002E2346"/>
    <w:rsid w:val="00304803"/>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51E41"/>
    <w:rsid w:val="00463B76"/>
    <w:rsid w:val="00465371"/>
    <w:rsid w:val="00465A3E"/>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71470"/>
    <w:rsid w:val="00576770"/>
    <w:rsid w:val="00576F82"/>
    <w:rsid w:val="00581416"/>
    <w:rsid w:val="00582DE2"/>
    <w:rsid w:val="00590FE3"/>
    <w:rsid w:val="005A0C29"/>
    <w:rsid w:val="005A293B"/>
    <w:rsid w:val="005A5E41"/>
    <w:rsid w:val="005C6366"/>
    <w:rsid w:val="005D2EE1"/>
    <w:rsid w:val="005E2FCB"/>
    <w:rsid w:val="005E587C"/>
    <w:rsid w:val="0060169E"/>
    <w:rsid w:val="006047D8"/>
    <w:rsid w:val="006107FC"/>
    <w:rsid w:val="00624F51"/>
    <w:rsid w:val="00633D82"/>
    <w:rsid w:val="006375B7"/>
    <w:rsid w:val="00643397"/>
    <w:rsid w:val="00655EA0"/>
    <w:rsid w:val="00657A7B"/>
    <w:rsid w:val="0068398A"/>
    <w:rsid w:val="00695069"/>
    <w:rsid w:val="006A0BE4"/>
    <w:rsid w:val="006A1B10"/>
    <w:rsid w:val="006A48F3"/>
    <w:rsid w:val="006A6A3A"/>
    <w:rsid w:val="006A7CBF"/>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1DC0"/>
    <w:rsid w:val="0086466C"/>
    <w:rsid w:val="008677C6"/>
    <w:rsid w:val="00867E6C"/>
    <w:rsid w:val="00882FC4"/>
    <w:rsid w:val="00890065"/>
    <w:rsid w:val="008A6250"/>
    <w:rsid w:val="008B35FC"/>
    <w:rsid w:val="008C100C"/>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5224"/>
    <w:rsid w:val="009A1CFF"/>
    <w:rsid w:val="009A3C4F"/>
    <w:rsid w:val="009A44D0"/>
    <w:rsid w:val="009A4C1B"/>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665"/>
    <w:rsid w:val="00AD0F45"/>
    <w:rsid w:val="00AD6C00"/>
    <w:rsid w:val="00AE0702"/>
    <w:rsid w:val="00AF0973"/>
    <w:rsid w:val="00AF5EEC"/>
    <w:rsid w:val="00B07128"/>
    <w:rsid w:val="00B103B8"/>
    <w:rsid w:val="00B12C9B"/>
    <w:rsid w:val="00B2415D"/>
    <w:rsid w:val="00B31F1E"/>
    <w:rsid w:val="00B379E7"/>
    <w:rsid w:val="00B40CDA"/>
    <w:rsid w:val="00B411B0"/>
    <w:rsid w:val="00B53807"/>
    <w:rsid w:val="00B56878"/>
    <w:rsid w:val="00B569DB"/>
    <w:rsid w:val="00B62E2E"/>
    <w:rsid w:val="00B6373C"/>
    <w:rsid w:val="00B641A5"/>
    <w:rsid w:val="00B80CDB"/>
    <w:rsid w:val="00B95236"/>
    <w:rsid w:val="00BA2083"/>
    <w:rsid w:val="00BA4464"/>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F4AAF"/>
    <w:rsid w:val="00D06421"/>
    <w:rsid w:val="00D142A8"/>
    <w:rsid w:val="00D17F06"/>
    <w:rsid w:val="00D34E24"/>
    <w:rsid w:val="00D35D97"/>
    <w:rsid w:val="00D43CB9"/>
    <w:rsid w:val="00D5207A"/>
    <w:rsid w:val="00D52268"/>
    <w:rsid w:val="00D54431"/>
    <w:rsid w:val="00D56563"/>
    <w:rsid w:val="00D57FAD"/>
    <w:rsid w:val="00D81680"/>
    <w:rsid w:val="00D8216B"/>
    <w:rsid w:val="00D852A1"/>
    <w:rsid w:val="00D904F5"/>
    <w:rsid w:val="00DA5475"/>
    <w:rsid w:val="00DB7C1F"/>
    <w:rsid w:val="00DD4FDA"/>
    <w:rsid w:val="00DD73AA"/>
    <w:rsid w:val="00DE14D4"/>
    <w:rsid w:val="00DE46EE"/>
    <w:rsid w:val="00DE6F0E"/>
    <w:rsid w:val="00DF1F29"/>
    <w:rsid w:val="00DF5EAF"/>
    <w:rsid w:val="00E01912"/>
    <w:rsid w:val="00E16CB3"/>
    <w:rsid w:val="00E21636"/>
    <w:rsid w:val="00E230BA"/>
    <w:rsid w:val="00E31A55"/>
    <w:rsid w:val="00E36CB7"/>
    <w:rsid w:val="00E36FE1"/>
    <w:rsid w:val="00E4299F"/>
    <w:rsid w:val="00E43C11"/>
    <w:rsid w:val="00E62DFD"/>
    <w:rsid w:val="00E7674F"/>
    <w:rsid w:val="00E81EA9"/>
    <w:rsid w:val="00E9034C"/>
    <w:rsid w:val="00E947B6"/>
    <w:rsid w:val="00EC1016"/>
    <w:rsid w:val="00EC4D9D"/>
    <w:rsid w:val="00EC5189"/>
    <w:rsid w:val="00EC66AB"/>
    <w:rsid w:val="00EE32B1"/>
    <w:rsid w:val="00EE3C80"/>
    <w:rsid w:val="00EE6A11"/>
    <w:rsid w:val="00EF0C0B"/>
    <w:rsid w:val="00EF5B8E"/>
    <w:rsid w:val="00F003C0"/>
    <w:rsid w:val="00F07E6A"/>
    <w:rsid w:val="00F10B93"/>
    <w:rsid w:val="00F453A6"/>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F9D49"/>
  <w15:docId w15:val="{BD49DDD7-25F9-4C1A-99B6-8C050225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hyperlink" Target="http://capec.mitre.org/" TargetMode="Externa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hyperlink" Target="http://cpe.mitre.org" TargetMode="External"/><Relationship Id="rId47" Type="http://schemas.openxmlformats.org/officeDocument/2006/relationships/hyperlink" Target="http://maec.mitre.org" TargetMode="External"/><Relationship Id="rId50" Type="http://schemas.openxmlformats.org/officeDocument/2006/relationships/hyperlink" Target="http://www.ietf.org/rfc/rfc2119.txt" TargetMode="External"/><Relationship Id="rId55" Type="http://schemas.openxmlformats.org/officeDocument/2006/relationships/hyperlink" Target="http://stixproject.github.io/"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microsoft.com/office/2011/relationships/commentsExtended" Target="commentsExtended.xml"/><Relationship Id="rId29" Type="http://schemas.openxmlformats.org/officeDocument/2006/relationships/image" Target="media/image3.png"/><Relationship Id="rId41" Type="http://schemas.openxmlformats.org/officeDocument/2006/relationships/hyperlink" Target="http://docs.oasis-open.org/ciq/v3.0/specs/ciq-specs-v3.html" TargetMode="External"/><Relationship Id="rId54" Type="http://schemas.openxmlformats.org/officeDocument/2006/relationships/hyperlink" Target="http://www.w3.org/TR/xmlschema-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oleObject" Target="embeddings/oleObject4.bin"/><Relationship Id="rId40" Type="http://schemas.openxmlformats.org/officeDocument/2006/relationships/hyperlink" Target="http://cee.mitre.org" TargetMode="External"/><Relationship Id="rId45" Type="http://schemas.openxmlformats.org/officeDocument/2006/relationships/hyperlink" Target="http://cwe.mitre.org" TargetMode="External"/><Relationship Id="rId53" Type="http://schemas.openxmlformats.org/officeDocument/2006/relationships/hyperlink" Target="http://www.w3.org/TR/REC-xml-names" TargetMode="External"/><Relationship Id="rId58"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cid:image003.png@01CFC8F2.37AD2A50" TargetMode="External"/><Relationship Id="rId36" Type="http://schemas.openxmlformats.org/officeDocument/2006/relationships/image" Target="media/image7.png"/><Relationship Id="rId49" Type="http://schemas.openxmlformats.org/officeDocument/2006/relationships/hyperlink" Target="http://oval.mitre.org" TargetMode="External"/><Relationship Id="rId57" Type="http://schemas.openxmlformats.org/officeDocument/2006/relationships/hyperlink" Target="http://www.omg.org/spec/UML/2.4.1/" TargetMode="External"/><Relationship Id="rId61" Type="http://schemas.openxmlformats.org/officeDocument/2006/relationships/hyperlink" Target="http://stixproject.github.io/data-model/1.1.1/coa/CourseOfActionType" TargetMode="Externa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hyperlink" Target="http://www.icasi.org/cvrf/" TargetMode="External"/><Relationship Id="rId52" Type="http://schemas.openxmlformats.org/officeDocument/2006/relationships/hyperlink" Target="http://www.ietf.org/rfc/rfc5646.txt" TargetMode="External"/><Relationship Id="rId60"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2.gif"/><Relationship Id="rId30" Type="http://schemas.openxmlformats.org/officeDocument/2006/relationships/oleObject" Target="embeddings/oleObject1.bin"/><Relationship Id="rId35" Type="http://schemas.openxmlformats.org/officeDocument/2006/relationships/oleObject" Target="embeddings/oleObject3.bin"/><Relationship Id="rId43" Type="http://schemas.openxmlformats.org/officeDocument/2006/relationships/hyperlink" Target="http://cve.mitre.org" TargetMode="External"/><Relationship Id="rId48" Type="http://schemas.openxmlformats.org/officeDocument/2006/relationships/hyperlink" Target="http://openioc.org/" TargetMode="External"/><Relationship Id="rId56" Type="http://schemas.openxmlformats.org/officeDocument/2006/relationships/hyperlink" Target="http://stix.mitre.org/about/documents/Characterizing_Malware_MAEC_and_STIX_v1.0.pdf" TargetMode="External"/><Relationship Id="rId64"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hyperlink" Target="https://www.ietf.org/rfc/rfc3986.txt"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oleObject" Target="embeddings/oleObject2.bin"/><Relationship Id="rId38" Type="http://schemas.openxmlformats.org/officeDocument/2006/relationships/image" Target="media/image8.png"/><Relationship Id="rId46" Type="http://schemas.openxmlformats.org/officeDocument/2006/relationships/hyperlink" Target="http://www.iso.org/iso/home/standards/iso8601.htm" TargetMode="External"/><Relationship Id="rId59"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AD2BD-D1FE-4295-9EC3-51AEBDB7C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144</TotalTime>
  <Pages>24</Pages>
  <Words>7318</Words>
  <Characters>41714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48935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15</cp:revision>
  <cp:lastPrinted>2011-08-05T16:21:00Z</cp:lastPrinted>
  <dcterms:created xsi:type="dcterms:W3CDTF">2015-08-24T21:14:00Z</dcterms:created>
  <dcterms:modified xsi:type="dcterms:W3CDTF">2015-08-28T18:41:00Z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