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DC1CC4" w:rsidP="00D17F06">
      <w:pPr>
        <w:pStyle w:val="Titlepageinfodescription"/>
      </w:pPr>
      <w:hyperlink r:id="rId9"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 xml:space="preserve">Richard </w:t>
      </w:r>
      <w:proofErr w:type="spellStart"/>
      <w:r>
        <w:t>Struse</w:t>
      </w:r>
      <w:proofErr w:type="spellEnd"/>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 xml:space="preserve">DHS Office of </w:t>
        </w:r>
        <w:proofErr w:type="spellStart"/>
        <w:r>
          <w:rPr>
            <w:rStyle w:val="Hyperlink"/>
          </w:rPr>
          <w:t>Cybersecurity</w:t>
        </w:r>
        <w:proofErr w:type="spellEnd"/>
        <w:r>
          <w:rPr>
            <w:rStyle w:val="Hyperlink"/>
          </w:rPr>
          <w:t xml:space="preserve">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2" w:history="1">
        <w:r>
          <w:rPr>
            <w:rStyle w:val="Hyperlink"/>
          </w:rPr>
          <w:t>sbarnum@mitre.org</w:t>
        </w:r>
      </w:hyperlink>
      <w:r w:rsidR="006B65C7" w:rsidRPr="00960D49">
        <w:t xml:space="preserve">), </w:t>
      </w:r>
      <w:hyperlink r:id="rId13"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4" w:history="1">
        <w:r w:rsidRPr="000E62CA">
          <w:rPr>
            <w:rStyle w:val="Hyperlink"/>
          </w:rPr>
          <w:t>dbeck@mitre.org</w:t>
        </w:r>
      </w:hyperlink>
      <w:r>
        <w:t xml:space="preserve">), </w:t>
      </w:r>
      <w:hyperlink r:id="rId15" w:history="1">
        <w:r w:rsidR="00484117">
          <w:rPr>
            <w:rStyle w:val="Hyperlink"/>
          </w:rPr>
          <w:t>MITRE Corporation</w:t>
        </w:r>
      </w:hyperlink>
    </w:p>
    <w:p w14:paraId="4AAE80AC" w14:textId="131E91EF" w:rsidR="002E2346" w:rsidRDefault="00E62DFD" w:rsidP="009D7D6E">
      <w:pPr>
        <w:pStyle w:val="Contributor"/>
      </w:pPr>
      <w:proofErr w:type="spellStart"/>
      <w:r>
        <w:t>Aharon</w:t>
      </w:r>
      <w:proofErr w:type="spellEnd"/>
      <w:r>
        <w:t xml:space="preserve"> </w:t>
      </w:r>
      <w:proofErr w:type="spellStart"/>
      <w:r>
        <w:t>Chernin</w:t>
      </w:r>
      <w:proofErr w:type="spellEnd"/>
      <w:r w:rsidRPr="00960D49">
        <w:t xml:space="preserve"> (</w:t>
      </w:r>
      <w:hyperlink r:id="rId16" w:history="1">
        <w:r>
          <w:rPr>
            <w:rStyle w:val="Hyperlink"/>
          </w:rPr>
          <w:t>achernin@soltra.com</w:t>
        </w:r>
      </w:hyperlink>
      <w:r w:rsidRPr="00960D49">
        <w:t xml:space="preserve">), </w:t>
      </w:r>
      <w:hyperlink r:id="rId17" w:history="1">
        <w:proofErr w:type="spellStart"/>
        <w:r>
          <w:rPr>
            <w:rStyle w:val="Hyperlink"/>
          </w:rPr>
          <w:t>Soltra</w:t>
        </w:r>
        <w:proofErr w:type="spellEnd"/>
      </w:hyperlink>
      <w:r w:rsidR="009D7D6E">
        <w:t xml:space="preserve"> </w:t>
      </w:r>
    </w:p>
    <w:p w14:paraId="40DBBD3E" w14:textId="60C3F4E0" w:rsidR="00A3375D" w:rsidRPr="003A1387" w:rsidRDefault="00A3375D" w:rsidP="003A1387">
      <w:pPr>
        <w:pStyle w:val="Contributor"/>
      </w:pPr>
      <w:r>
        <w:t>Rich Piazza (</w:t>
      </w:r>
      <w:hyperlink r:id="rId18" w:history="1">
        <w:r w:rsidR="009204EF" w:rsidRPr="000E62CA">
          <w:rPr>
            <w:rStyle w:val="Hyperlink"/>
          </w:rPr>
          <w:t>rpiazza@mitre.org</w:t>
        </w:r>
      </w:hyperlink>
      <w:r>
        <w:t xml:space="preserve">), </w:t>
      </w:r>
      <w:hyperlink r:id="rId19"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w:t>
      </w:r>
      <w:proofErr w:type="gramStart"/>
      <w:r w:rsidRPr="00560795">
        <w:t xml:space="preserve">Product </w:t>
      </w:r>
      <w:r>
        <w:t>which</w:t>
      </w:r>
      <w:proofErr w:type="gramEnd"/>
      <w:r>
        <w:t xml:space="preserve">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w:t>
      </w:r>
      <w:proofErr w:type="gramStart"/>
      <w:r>
        <w:t>this</w:t>
      </w:r>
      <w:proofErr w:type="gramEnd"/>
      <w:r>
        <w:t xml:space="preserve">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proofErr w:type="spellStart"/>
      <w:r w:rsidRPr="0020576E">
        <w:rPr>
          <w:i/>
        </w:rPr>
        <w:t>CybOX</w:t>
      </w:r>
      <w:proofErr w:type="spellEnd"/>
      <w:r w:rsidRPr="0020576E">
        <w:rPr>
          <w:i/>
        </w:rPr>
        <w:t xml:space="preserve">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w:t>
      </w:r>
      <w:proofErr w:type="gramStart"/>
      <w:r w:rsidR="00163EB3" w:rsidRPr="00163EB3">
        <w:rPr>
          <w:rStyle w:val="Hyperlink"/>
          <w:color w:val="auto"/>
        </w:rPr>
        <w:t>overview.docx</w:t>
      </w:r>
      <w:proofErr w:type="gramEnd"/>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proofErr w:type="gramStart"/>
      <w:r>
        <w:t>Copyright © OASIS Open</w:t>
      </w:r>
      <w:r w:rsidR="00D142A8">
        <w:t xml:space="preserve"> 201</w:t>
      </w:r>
      <w:r w:rsidR="00960D49">
        <w:t>5</w:t>
      </w:r>
      <w:r w:rsidR="006E4329" w:rsidRPr="00852E10">
        <w:t>.</w:t>
      </w:r>
      <w:proofErr w:type="gramEnd"/>
      <w:r w:rsidR="006E4329" w:rsidRPr="00852E10">
        <w:t xml:space="preserve">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DC1CC4">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DC1CC4">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DC1CC4">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DC1CC4">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DC1CC4">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DC1CC4">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DC1CC4">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DC1CC4">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DC1CC4">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DC1CC4">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DC1CC4">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 xml:space="preserve">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w:t>
      </w:r>
      <w:proofErr w:type="spellStart"/>
      <w:r w:rsidRPr="00FC6DFE">
        <w:t>ThreatActor</w:t>
      </w:r>
      <w:proofErr w:type="spellEnd"/>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w:t>
      </w:r>
      <w:proofErr w:type="spellStart"/>
      <w:r>
        <w:t>the</w:t>
      </w:r>
      <w:proofErr w:type="spellEnd"/>
      <w:r>
        <w:t xml:space="preserv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218A0DB5" w:rsidR="00387A69" w:rsidRPr="00CB4BF9" w:rsidRDefault="006A0032" w:rsidP="00387A69">
      <w:pPr>
        <w:jc w:val="center"/>
      </w:pPr>
      <w:r>
        <w:rPr>
          <w:noProof/>
        </w:rPr>
        <w:drawing>
          <wp:inline distT="0" distB="0" distL="0" distR="0" wp14:anchorId="483C9D03" wp14:editId="51DE1243">
            <wp:extent cx="3886200" cy="192118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rotWithShape="1">
                    <a:blip r:embed="rId25">
                      <a:extLst>
                        <a:ext uri="{28A0092B-C50C-407E-A947-70E740481C1C}">
                          <a14:useLocalDpi xmlns:a14="http://schemas.microsoft.com/office/drawing/2010/main" val="0"/>
                        </a:ext>
                      </a:extLst>
                    </a:blip>
                    <a:srcRect l="8030" t="19264" r="8341" b="25613"/>
                    <a:stretch/>
                  </pic:blipFill>
                  <pic:spPr bwMode="auto">
                    <a:xfrm>
                      <a:off x="0" y="0"/>
                      <a:ext cx="3886200" cy="1921188"/>
                    </a:xfrm>
                    <a:prstGeom prst="rect">
                      <a:avLst/>
                    </a:prstGeom>
                    <a:ln>
                      <a:noFill/>
                    </a:ln>
                    <a:extLst>
                      <a:ext uri="{53640926-AAD7-44d8-BBD7-CCE9431645EC}">
                        <a14:shadowObscured xmlns:a14="http://schemas.microsoft.com/office/drawing/2010/main"/>
                      </a:ext>
                    </a:extLst>
                  </pic:spPr>
                </pic:pic>
              </a:graphicData>
            </a:graphic>
          </wp:inline>
        </w:drawing>
      </w:r>
    </w:p>
    <w:p w14:paraId="59FB3627" w14:textId="30AF2595" w:rsidR="00387A69" w:rsidRDefault="006F5461" w:rsidP="00236A31">
      <w:pPr>
        <w:pStyle w:val="Caption"/>
        <w:rPr>
          <w:b/>
        </w:rPr>
      </w:pPr>
      <w:bookmarkStart w:id="5" w:name="_Ref427253214"/>
      <w:bookmarkStart w:id="6" w:name="_Ref390077491"/>
      <w:r w:rsidRPr="001A2638">
        <w:t xml:space="preserve">Figure </w:t>
      </w:r>
      <w:r w:rsidR="00DC1CC4">
        <w:fldChar w:fldCharType="begin"/>
      </w:r>
      <w:r w:rsidR="00DC1CC4">
        <w:instrText xml:space="preserve"> STYLEREF 1 \s </w:instrText>
      </w:r>
      <w:r w:rsidR="00DC1CC4">
        <w:fldChar w:fldCharType="separate"/>
      </w:r>
      <w:r w:rsidR="00991BDE">
        <w:rPr>
          <w:noProof/>
        </w:rPr>
        <w:t>1</w:t>
      </w:r>
      <w:r w:rsidR="00DC1CC4">
        <w:rPr>
          <w:noProof/>
        </w:rPr>
        <w:fldChar w:fldCharType="end"/>
      </w:r>
      <w:r w:rsidRPr="001A2638">
        <w:noBreakHyphen/>
      </w:r>
      <w:r w:rsidR="00DC1CC4">
        <w:fldChar w:fldCharType="begin"/>
      </w:r>
      <w:r w:rsidR="00DC1CC4">
        <w:instrText xml:space="preserve"> SEQ Figure \* ARABIC \s 1 </w:instrText>
      </w:r>
      <w:r w:rsidR="00DC1CC4">
        <w:fldChar w:fldCharType="separate"/>
      </w:r>
      <w:r w:rsidR="00991BDE">
        <w:rPr>
          <w:noProof/>
        </w:rPr>
        <w:t>1</w:t>
      </w:r>
      <w:r w:rsidR="00DC1CC4">
        <w:rPr>
          <w:noProof/>
        </w:rPr>
        <w:fldChar w:fldCharType="end"/>
      </w:r>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p>
    <w:p w14:paraId="155963DE" w14:textId="73FD634D"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xml:space="preserve">, altered shading differentiates the overarching Core and Common data models from the supporting data models (vocabularies, data marking, and default extensions), and the color white indicates the component data models. </w:t>
      </w:r>
      <w:r w:rsidR="004F02D1">
        <w:t>The solid grey color denotes</w:t>
      </w:r>
      <w:r w:rsidR="00187964">
        <w:t xml:space="preserve"> the overall STIX L</w:t>
      </w:r>
      <w:r w:rsidR="004F02D1">
        <w:t>anguage UML Model</w:t>
      </w:r>
      <w:r>
        <w:t xml:space="preserve">.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w:t>
        </w:r>
        <w:proofErr w:type="spellStart"/>
        <w:r w:rsidR="00D904F5" w:rsidRPr="00D904F5">
          <w:rPr>
            <w:rStyle w:val="Hyperlink"/>
            <w:b/>
          </w:rPr>
          <w:t>GitHub</w:t>
        </w:r>
        <w:proofErr w:type="spellEnd"/>
        <w:r w:rsidR="00D904F5" w:rsidRPr="00D904F5">
          <w:rPr>
            <w:rStyle w:val="Hyperlink"/>
            <w:b/>
          </w:rPr>
          <w:t>-IO]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7" w:name="_Ref427251561"/>
      <w:bookmarkStart w:id="8" w:name="_Toc429676484"/>
      <w:bookmarkStart w:id="9" w:name="_Toc85472893"/>
      <w:bookmarkStart w:id="10" w:name="_Toc287332007"/>
      <w:r>
        <w:t>Document Conventions</w:t>
      </w:r>
      <w:bookmarkEnd w:id="7"/>
      <w:bookmarkEnd w:id="8"/>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1" w:name="_Toc429676485"/>
      <w:r>
        <w:lastRenderedPageBreak/>
        <w:t>Fonts</w:t>
      </w:r>
      <w:bookmarkEnd w:id="11"/>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Capitalization is used for STIX </w:t>
      </w:r>
      <w:proofErr w:type="gramStart"/>
      <w:r w:rsidRPr="00490DDE">
        <w:rPr>
          <w:rFonts w:ascii="Arial" w:hAnsi="Arial" w:cs="Arial"/>
          <w:sz w:val="20"/>
          <w:szCs w:val="20"/>
        </w:rPr>
        <w:t>high level</w:t>
      </w:r>
      <w:proofErr w:type="gramEnd"/>
      <w:r w:rsidRPr="00490DDE">
        <w:rPr>
          <w:rFonts w:ascii="Arial" w:hAnsi="Arial" w:cs="Arial"/>
          <w:sz w:val="20"/>
          <w:szCs w:val="20"/>
        </w:rPr>
        <w:t xml:space="preserve">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proofErr w:type="spellStart"/>
      <w:r w:rsidRPr="00490DDE">
        <w:rPr>
          <w:rFonts w:ascii="Courier New" w:hAnsi="Courier New" w:cs="Courier New"/>
          <w:sz w:val="20"/>
          <w:szCs w:val="20"/>
        </w:rPr>
        <w:t>RelatedIndicatorsType</w:t>
      </w:r>
      <w:proofErr w:type="spellEnd"/>
      <w:r w:rsidRPr="00490DDE">
        <w:rPr>
          <w:rFonts w:ascii="Arial" w:hAnsi="Arial" w:cs="Arial"/>
          <w:sz w:val="20"/>
          <w:szCs w:val="20"/>
        </w:rPr>
        <w:t xml:space="preserve">, </w:t>
      </w:r>
      <w:proofErr w:type="spellStart"/>
      <w:r w:rsidRPr="00490DDE">
        <w:rPr>
          <w:rFonts w:ascii="Courier New" w:hAnsi="Courier New" w:cs="Courier New"/>
          <w:sz w:val="20"/>
          <w:szCs w:val="20"/>
        </w:rPr>
        <w:t>stixCommon</w:t>
      </w:r>
      <w:proofErr w:type="gramStart"/>
      <w:r w:rsidRPr="00490DDE">
        <w:rPr>
          <w:rFonts w:ascii="Courier New" w:hAnsi="Courier New" w:cs="Courier New"/>
          <w:sz w:val="20"/>
          <w:szCs w:val="20"/>
        </w:rPr>
        <w:t>:StatementType</w:t>
      </w:r>
      <w:proofErr w:type="spellEnd"/>
      <w:proofErr w:type="gramEnd"/>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w:t>
      </w:r>
      <w:proofErr w:type="gramStart"/>
      <w:r w:rsidRPr="00490DDE">
        <w:rPr>
          <w:rFonts w:ascii="Arial" w:hAnsi="Arial" w:cs="Arial"/>
          <w:sz w:val="20"/>
          <w:szCs w:val="20"/>
        </w:rPr>
        <w:t>high level</w:t>
      </w:r>
      <w:proofErr w:type="gramEnd"/>
      <w:r w:rsidRPr="00490DDE">
        <w:rPr>
          <w:rFonts w:ascii="Arial" w:hAnsi="Arial" w:cs="Arial"/>
          <w:sz w:val="20"/>
          <w:szCs w:val="20"/>
        </w:rPr>
        <w:t xml:space="preserve"> concept is associated with a UML class named, </w:t>
      </w:r>
      <w:proofErr w:type="spellStart"/>
      <w:r w:rsidRPr="00490DDE">
        <w:rPr>
          <w:rFonts w:ascii="Courier New" w:hAnsi="Courier New" w:cs="Courier New"/>
          <w:sz w:val="20"/>
          <w:szCs w:val="20"/>
        </w:rPr>
        <w:t>CourseOfActionType</w:t>
      </w:r>
      <w:proofErr w:type="spellEnd"/>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2" w:name="_Toc429676486"/>
      <w:r>
        <w:t>UML Package References</w:t>
      </w:r>
      <w:bookmarkEnd w:id="12"/>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1A2638">
        <w:rPr>
          <w:rFonts w:ascii="Courier New" w:hAnsi="Courier New" w:cs="Courier New"/>
          <w:szCs w:val="20"/>
        </w:rPr>
        <w:t>package_prefix</w:t>
      </w:r>
      <w:proofErr w:type="gramStart"/>
      <w:r w:rsidRPr="001A2638">
        <w:rPr>
          <w:rFonts w:ascii="Courier New" w:hAnsi="Courier New" w:cs="Courier New"/>
          <w:szCs w:val="20"/>
        </w:rPr>
        <w:t>:class</w:t>
      </w:r>
      <w:proofErr w:type="spellEnd"/>
      <w:proofErr w:type="gramEnd"/>
      <w:r w:rsidRPr="001A2638">
        <w:rPr>
          <w:szCs w:val="20"/>
        </w:rPr>
        <w:t xml:space="preserve">, where </w:t>
      </w:r>
      <w:proofErr w:type="spellStart"/>
      <w:r w:rsidRPr="001A2638">
        <w:rPr>
          <w:rFonts w:ascii="Courier New" w:hAnsi="Courier New" w:cs="Courier New"/>
          <w:szCs w:val="20"/>
        </w:rPr>
        <w:t>package_prefix</w:t>
      </w:r>
      <w:proofErr w:type="spellEnd"/>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w:t>
      </w:r>
      <w:proofErr w:type="gramStart"/>
      <w:r w:rsidRPr="001A2638">
        <w:rPr>
          <w:szCs w:val="20"/>
        </w:rPr>
        <w:t>examples</w:t>
      </w:r>
      <w:proofErr w:type="gramEnd"/>
      <w:r>
        <w:t>.</w:t>
      </w:r>
    </w:p>
    <w:p w14:paraId="0EF5F8D1" w14:textId="1BC4E3DA" w:rsidR="001A2638" w:rsidRDefault="001A2638" w:rsidP="001A2638">
      <w:pPr>
        <w:pStyle w:val="Heading3"/>
      </w:pPr>
      <w:bookmarkStart w:id="13" w:name="_Toc429676487"/>
      <w:r>
        <w:t>UML Diagrams</w:t>
      </w:r>
      <w:bookmarkEnd w:id="13"/>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4" w:name="_Toc429676488"/>
      <w:r>
        <w:t>Class Properties</w:t>
      </w:r>
      <w:bookmarkEnd w:id="14"/>
    </w:p>
    <w:p w14:paraId="0D1A2582" w14:textId="5B6E7FB3" w:rsidR="001A2638" w:rsidRDefault="001A2638" w:rsidP="001A2638">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proofErr w:type="gramStart"/>
      <w:r>
        <w:t>higher level</w:t>
      </w:r>
      <w:proofErr w:type="gramEnd"/>
      <w:r>
        <w:t xml:space="preserve">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5" w:name="_Toc429676489"/>
      <w:r>
        <w:t>Diagram Icons and Arrow Types</w:t>
      </w:r>
      <w:bookmarkEnd w:id="15"/>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6" w:name="_Ref397637630"/>
      <w:bookmarkStart w:id="17" w:name="_Ref418197702"/>
    </w:p>
    <w:p w14:paraId="18F46C3A" w14:textId="77777777" w:rsidR="001A2638" w:rsidRPr="001A2638" w:rsidRDefault="001A2638" w:rsidP="00236A31">
      <w:pPr>
        <w:pStyle w:val="Caption"/>
      </w:pPr>
      <w:bookmarkStart w:id="18" w:name="_Ref418259228"/>
      <w:r w:rsidRPr="001A2638">
        <w:t xml:space="preserve">Table </w:t>
      </w:r>
      <w:r w:rsidR="00DC1CC4">
        <w:fldChar w:fldCharType="begin"/>
      </w:r>
      <w:r w:rsidR="00DC1CC4">
        <w:instrText xml:space="preserve"> STYLEREF 1 \s </w:instrText>
      </w:r>
      <w:r w:rsidR="00DC1CC4">
        <w:fldChar w:fldCharType="separate"/>
      </w:r>
      <w:r w:rsidR="00991BDE">
        <w:rPr>
          <w:noProof/>
        </w:rPr>
        <w:t>1</w:t>
      </w:r>
      <w:r w:rsidR="00DC1CC4">
        <w:rPr>
          <w:noProof/>
        </w:rPr>
        <w:fldChar w:fldCharType="end"/>
      </w:r>
      <w:r w:rsidRPr="001A2638">
        <w:noBreakHyphen/>
      </w:r>
      <w:r w:rsidR="00DC1CC4">
        <w:fldChar w:fldCharType="begin"/>
      </w:r>
      <w:r w:rsidR="00DC1CC4">
        <w:instrText xml:space="preserve"> SEQ Table \* ARABIC \s 1 </w:instrText>
      </w:r>
      <w:r w:rsidR="00DC1CC4">
        <w:fldChar w:fldCharType="separate"/>
      </w:r>
      <w:r w:rsidR="00991BDE">
        <w:rPr>
          <w:noProof/>
        </w:rPr>
        <w:t>1</w:t>
      </w:r>
      <w:r w:rsidR="00DC1CC4">
        <w:rPr>
          <w:noProof/>
        </w:rPr>
        <w:fldChar w:fldCharType="end"/>
      </w:r>
      <w:bookmarkEnd w:id="16"/>
      <w:bookmarkEnd w:id="18"/>
      <w:r w:rsidRPr="001A2638">
        <w:t>.  UML diagram icons</w:t>
      </w:r>
      <w:bookmarkEnd w:id="1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377427198" r:id="rId28"/>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25pt;height:14.25pt" o:ole="">
                  <v:imagedata r:id="rId30" o:title=""/>
                </v:shape>
                <o:OLEObject Type="Embed" ProgID="PBrush" ShapeID="_x0000_i1026" DrawAspect="Content" ObjectID="_1377427199" r:id="rId31"/>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25pt;height:14.25pt" o:ole="">
                  <v:imagedata r:id="rId32" o:title=""/>
                </v:shape>
                <o:OLEObject Type="Embed" ProgID="PBrush" ShapeID="_x0000_i1027" DrawAspect="Content" ObjectID="_1377427200" r:id="rId33"/>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0F30CA4"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75pt;height:36pt" o:ole="">
                  <v:imagedata r:id="rId34" o:title=""/>
                </v:shape>
                <o:OLEObject Type="Embed" ProgID="PBrush" ShapeID="_x0000_i1028" DrawAspect="Content" ObjectID="_1377427201" r:id="rId35"/>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19" w:name="_Toc429676490"/>
      <w:r>
        <w:t>Color Coding</w:t>
      </w:r>
      <w:bookmarkEnd w:id="19"/>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6">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a:ext>
                    </a:extLst>
                  </pic:spPr>
                </pic:pic>
              </a:graphicData>
            </a:graphic>
          </wp:inline>
        </w:drawing>
      </w:r>
    </w:p>
    <w:p w14:paraId="19CD8419" w14:textId="690C46EE" w:rsidR="001A2638" w:rsidRDefault="001A2638" w:rsidP="006F5461">
      <w:pPr>
        <w:pStyle w:val="Caption"/>
      </w:pPr>
      <w:bookmarkStart w:id="20" w:name="_Ref397676401"/>
      <w:r w:rsidRPr="001A2638">
        <w:t xml:space="preserve">Figure </w:t>
      </w:r>
      <w:r w:rsidR="00DC1CC4">
        <w:fldChar w:fldCharType="begin"/>
      </w:r>
      <w:r w:rsidR="00DC1CC4">
        <w:instrText xml:space="preserve"> STYLEREF 1 \s </w:instrText>
      </w:r>
      <w:r w:rsidR="00DC1CC4">
        <w:fldChar w:fldCharType="separate"/>
      </w:r>
      <w:r w:rsidR="00991BDE">
        <w:rPr>
          <w:noProof/>
        </w:rPr>
        <w:t>1</w:t>
      </w:r>
      <w:r w:rsidR="00DC1CC4">
        <w:rPr>
          <w:noProof/>
        </w:rPr>
        <w:fldChar w:fldCharType="end"/>
      </w:r>
      <w:r w:rsidRPr="001A2638">
        <w:noBreakHyphen/>
      </w:r>
      <w:r w:rsidR="00DC1CC4">
        <w:fldChar w:fldCharType="begin"/>
      </w:r>
      <w:r w:rsidR="00DC1CC4">
        <w:instrText xml:space="preserve"> SEQ Figure \* ARABIC \s 1 </w:instrText>
      </w:r>
      <w:r w:rsidR="00DC1CC4">
        <w:fldChar w:fldCharType="separate"/>
      </w:r>
      <w:r w:rsidR="00991BDE">
        <w:rPr>
          <w:noProof/>
        </w:rPr>
        <w:t>2</w:t>
      </w:r>
      <w:r w:rsidR="00DC1CC4">
        <w:rPr>
          <w:noProof/>
        </w:rPr>
        <w:fldChar w:fldCharType="end"/>
      </w:r>
      <w:bookmarkEnd w:id="20"/>
      <w:r w:rsidRPr="001A2638">
        <w:t xml:space="preserve">.  </w:t>
      </w:r>
      <w:r>
        <w:t>Data model color coding</w:t>
      </w:r>
    </w:p>
    <w:p w14:paraId="4D3ACA46" w14:textId="77777777" w:rsidR="00C71349" w:rsidRDefault="00C02DEC" w:rsidP="00A710C8">
      <w:pPr>
        <w:pStyle w:val="Heading2"/>
      </w:pPr>
      <w:bookmarkStart w:id="21" w:name="_Ref428610636"/>
      <w:bookmarkStart w:id="22" w:name="_Toc429676491"/>
      <w:r>
        <w:t>Terminology</w:t>
      </w:r>
      <w:bookmarkEnd w:id="9"/>
      <w:bookmarkEnd w:id="10"/>
      <w:bookmarkEnd w:id="21"/>
      <w:bookmarkEnd w:id="22"/>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991BDE">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3" w:name="_Ref7502892"/>
      <w:bookmarkStart w:id="24" w:name="_Toc12011611"/>
      <w:bookmarkStart w:id="25" w:name="_Toc85472894"/>
      <w:bookmarkStart w:id="26" w:name="_Toc287332008"/>
      <w:bookmarkStart w:id="27" w:name="_Ref428000766"/>
      <w:bookmarkStart w:id="28" w:name="_Toc429676492"/>
      <w:r>
        <w:t>Normative</w:t>
      </w:r>
      <w:bookmarkEnd w:id="23"/>
      <w:bookmarkEnd w:id="24"/>
      <w:r>
        <w:t xml:space="preserve"> References</w:t>
      </w:r>
      <w:bookmarkEnd w:id="25"/>
      <w:bookmarkEnd w:id="26"/>
      <w:bookmarkEnd w:id="27"/>
      <w:bookmarkEnd w:id="28"/>
    </w:p>
    <w:p w14:paraId="7627E4CB" w14:textId="7EAB096A" w:rsidR="000562B6" w:rsidRDefault="000562B6" w:rsidP="00942D23">
      <w:pPr>
        <w:pStyle w:val="Ref"/>
        <w:rPr>
          <w:rStyle w:val="Hyperlink"/>
        </w:rPr>
      </w:pPr>
      <w:r>
        <w:rPr>
          <w:rStyle w:val="Refterm"/>
        </w:rPr>
        <w:t>[</w:t>
      </w:r>
      <w:bookmarkStart w:id="29" w:name="capec"/>
      <w:r>
        <w:rPr>
          <w:rStyle w:val="Refterm"/>
        </w:rPr>
        <w:t>CAPEC</w:t>
      </w:r>
      <w:bookmarkEnd w:id="29"/>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7"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0" w:name="cee"/>
      <w:r>
        <w:rPr>
          <w:rStyle w:val="Refterm"/>
        </w:rPr>
        <w:t>CEE</w:t>
      </w:r>
      <w:bookmarkEnd w:id="30"/>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8"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1" w:name="ciq"/>
      <w:r w:rsidRPr="00BF431D">
        <w:rPr>
          <w:rStyle w:val="Refterm"/>
        </w:rPr>
        <w:t>CIQ</w:t>
      </w:r>
      <w:bookmarkEnd w:id="31"/>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2" w:name="rfc2119"/>
      <w:bookmarkStart w:id="33" w:name="cpe"/>
      <w:r>
        <w:rPr>
          <w:rStyle w:val="Refterm"/>
        </w:rPr>
        <w:t>CPE</w:t>
      </w:r>
      <w:bookmarkEnd w:id="32"/>
      <w:bookmarkEnd w:id="33"/>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0"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4" w:name="cve"/>
      <w:r w:rsidRPr="00924B44">
        <w:rPr>
          <w:b/>
        </w:rPr>
        <w:t>CVE</w:t>
      </w:r>
      <w:bookmarkEnd w:id="34"/>
      <w:r w:rsidRPr="00924B44">
        <w:rPr>
          <w:b/>
        </w:rPr>
        <w:t>]</w:t>
      </w:r>
      <w:r>
        <w:tab/>
        <w:t xml:space="preserve">Common Vulnerabilities and Exposures (CVE). </w:t>
      </w:r>
      <w:r w:rsidR="00807269">
        <w:t xml:space="preserve">(2015, Jul. 28). The MITRE Corporation. [Online]. Available: </w:t>
      </w:r>
      <w:hyperlink r:id="rId41" w:history="1">
        <w:r w:rsidRPr="000E62CA">
          <w:rPr>
            <w:rStyle w:val="Hyperlink"/>
          </w:rPr>
          <w:t>http://cve.mitre.org</w:t>
        </w:r>
      </w:hyperlink>
      <w:r>
        <w:t>.</w:t>
      </w:r>
    </w:p>
    <w:p w14:paraId="070D72A5" w14:textId="523F5592" w:rsidR="007C6F15" w:rsidRDefault="007C6F15" w:rsidP="00942D23">
      <w:pPr>
        <w:pStyle w:val="Ref"/>
      </w:pPr>
      <w:r>
        <w:rPr>
          <w:b/>
        </w:rPr>
        <w:t>[</w:t>
      </w:r>
      <w:bookmarkStart w:id="35" w:name="cvrf"/>
      <w:r>
        <w:rPr>
          <w:b/>
        </w:rPr>
        <w:t>CVRF</w:t>
      </w:r>
      <w:bookmarkEnd w:id="35"/>
      <w:r>
        <w:rPr>
          <w:b/>
        </w:rPr>
        <w:t>]</w:t>
      </w:r>
      <w:r>
        <w:rPr>
          <w:b/>
        </w:rPr>
        <w:tab/>
      </w:r>
      <w:r w:rsidR="009866DF" w:rsidRPr="009866DF">
        <w:t xml:space="preserve">Common </w:t>
      </w:r>
      <w:proofErr w:type="spellStart"/>
      <w:r w:rsidR="009866DF" w:rsidRPr="009866DF">
        <w:t>Vulnerabilites</w:t>
      </w:r>
      <w:proofErr w:type="spellEnd"/>
      <w:r w:rsidR="009866DF" w:rsidRPr="009866DF">
        <w:t xml:space="preserve"> Reporting Framework (CVRF)</w:t>
      </w:r>
      <w:r w:rsidR="004C172F">
        <w:t>. (</w:t>
      </w:r>
      <w:proofErr w:type="spellStart"/>
      <w:r w:rsidR="004C172F">
        <w:t>n.d.</w:t>
      </w:r>
      <w:proofErr w:type="spellEnd"/>
      <w:r w:rsidR="004C172F">
        <w:t>).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2"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6" w:name="cwe"/>
      <w:r w:rsidRPr="00924B44">
        <w:rPr>
          <w:b/>
        </w:rPr>
        <w:t>CWE</w:t>
      </w:r>
      <w:bookmarkEnd w:id="36"/>
      <w:r w:rsidRPr="00924B44">
        <w:rPr>
          <w:b/>
        </w:rPr>
        <w:t>]</w:t>
      </w:r>
      <w:r>
        <w:tab/>
        <w:t>Common Weakness Enumeration (CWE).</w:t>
      </w:r>
      <w:r w:rsidR="00B379E7">
        <w:t xml:space="preserve"> (2014, Jul. 31). The MITRE Corporation. [Online]. Available:</w:t>
      </w:r>
      <w:r>
        <w:t xml:space="preserve"> </w:t>
      </w:r>
      <w:hyperlink r:id="rId43"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7" w:name="iso8601"/>
      <w:r>
        <w:rPr>
          <w:b/>
        </w:rPr>
        <w:t>ISO8601</w:t>
      </w:r>
      <w:bookmarkEnd w:id="37"/>
      <w:r>
        <w:rPr>
          <w:b/>
        </w:rPr>
        <w:t>]</w:t>
      </w:r>
      <w:r>
        <w:rPr>
          <w:b/>
        </w:rPr>
        <w:tab/>
      </w:r>
      <w:r w:rsidR="00AB73FF" w:rsidRPr="00AB73FF">
        <w:t xml:space="preserve">Date and time format – </w:t>
      </w:r>
      <w:r w:rsidRPr="00E81EA9">
        <w:t>ISO 8601</w:t>
      </w:r>
      <w:r w:rsidR="00AB73FF">
        <w:t xml:space="preserve"> (</w:t>
      </w:r>
      <w:proofErr w:type="spellStart"/>
      <w:r w:rsidR="00AB73FF">
        <w:t>n.d.</w:t>
      </w:r>
      <w:proofErr w:type="spellEnd"/>
      <w:r w:rsidR="00AB73FF">
        <w:t>). International Organization for Standardization (ISO). [Online]</w:t>
      </w:r>
      <w:r w:rsidRPr="00E81EA9">
        <w:t>.</w:t>
      </w:r>
      <w:r w:rsidR="00AB73FF">
        <w:t xml:space="preserve"> Available: </w:t>
      </w:r>
      <w:hyperlink r:id="rId44"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8" w:name="maec"/>
      <w:r>
        <w:rPr>
          <w:b/>
        </w:rPr>
        <w:t>MAEC</w:t>
      </w:r>
      <w:bookmarkEnd w:id="38"/>
      <w:r>
        <w:rPr>
          <w:b/>
        </w:rPr>
        <w:t>]</w:t>
      </w:r>
      <w:r>
        <w:rPr>
          <w:b/>
        </w:rPr>
        <w:tab/>
      </w:r>
      <w:r>
        <w:t>Malware Attribute Enumerati</w:t>
      </w:r>
      <w:r w:rsidR="00474A0B">
        <w:t xml:space="preserve">on and Characterization (MAEC). (2015, Apr. 14). The MITRE Corporation. [Online]. Available: </w:t>
      </w:r>
      <w:hyperlink r:id="rId45"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39" w:name="openioc"/>
      <w:proofErr w:type="spellStart"/>
      <w:r>
        <w:rPr>
          <w:b/>
        </w:rPr>
        <w:t>OpenIOC</w:t>
      </w:r>
      <w:bookmarkEnd w:id="39"/>
      <w:proofErr w:type="spellEnd"/>
      <w:r>
        <w:rPr>
          <w:b/>
        </w:rPr>
        <w:t>]</w:t>
      </w:r>
      <w:r>
        <w:rPr>
          <w:b/>
        </w:rPr>
        <w:tab/>
      </w:r>
      <w:r w:rsidRPr="0060169E">
        <w:t xml:space="preserve">The </w:t>
      </w:r>
      <w:proofErr w:type="spellStart"/>
      <w:r w:rsidRPr="0060169E">
        <w:t>OpenIOC</w:t>
      </w:r>
      <w:proofErr w:type="spellEnd"/>
      <w:r w:rsidRPr="0060169E">
        <w:t xml:space="preserve"> Framework. (</w:t>
      </w:r>
      <w:proofErr w:type="spellStart"/>
      <w:r w:rsidRPr="0060169E">
        <w:t>n.d.</w:t>
      </w:r>
      <w:proofErr w:type="spellEnd"/>
      <w:r w:rsidRPr="0060169E">
        <w:t xml:space="preserve">). </w:t>
      </w:r>
      <w:proofErr w:type="spellStart"/>
      <w:r w:rsidRPr="0060169E">
        <w:t>Mandiant</w:t>
      </w:r>
      <w:proofErr w:type="spellEnd"/>
      <w:r w:rsidRPr="0060169E">
        <w:t xml:space="preserve"> Corporation. [Online]. Available:  </w:t>
      </w:r>
      <w:hyperlink r:id="rId46"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0" w:name="oval"/>
      <w:r>
        <w:rPr>
          <w:b/>
        </w:rPr>
        <w:t>OVAL</w:t>
      </w:r>
      <w:bookmarkEnd w:id="40"/>
      <w:r>
        <w:rPr>
          <w:b/>
        </w:rPr>
        <w:t>]</w:t>
      </w:r>
      <w:r>
        <w:rPr>
          <w:b/>
        </w:rPr>
        <w:tab/>
      </w:r>
      <w:r w:rsidRPr="00030CC9">
        <w:t>Open Vulnerabilit</w:t>
      </w:r>
      <w:r>
        <w:t>y and</w:t>
      </w:r>
      <w:r w:rsidRPr="00030CC9">
        <w:t xml:space="preserve"> Assessment Language (OVAL). </w:t>
      </w:r>
      <w:r w:rsidR="00465A3E">
        <w:t>(2015, Jul. 9). The MITRE Corporation. [</w:t>
      </w:r>
      <w:proofErr w:type="spellStart"/>
      <w:r w:rsidR="00465A3E">
        <w:t>Onlne</w:t>
      </w:r>
      <w:proofErr w:type="spellEnd"/>
      <w:r w:rsidR="00465A3E">
        <w:t xml:space="preserve">]. Available: </w:t>
      </w:r>
      <w:hyperlink r:id="rId47"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r>
      <w:proofErr w:type="spellStart"/>
      <w:r>
        <w:t>Bradner</w:t>
      </w:r>
      <w:proofErr w:type="spellEnd"/>
      <w:r>
        <w:t>,</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8"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1" w:name="rfc3986"/>
      <w:r>
        <w:rPr>
          <w:rStyle w:val="Refterm"/>
        </w:rPr>
        <w:t>RFC3986</w:t>
      </w:r>
      <w:bookmarkEnd w:id="41"/>
      <w:r>
        <w:rPr>
          <w:rStyle w:val="Refterm"/>
        </w:rPr>
        <w:t>]</w:t>
      </w:r>
      <w:r>
        <w:rPr>
          <w:rStyle w:val="Refterm"/>
        </w:rPr>
        <w:tab/>
      </w:r>
      <w:r w:rsidRPr="00861DC0">
        <w:rPr>
          <w:rStyle w:val="Refterm"/>
          <w:b w:val="0"/>
        </w:rPr>
        <w:t xml:space="preserve">Berners-Lee, T., Fielding, R. and </w:t>
      </w:r>
      <w:proofErr w:type="spellStart"/>
      <w:r w:rsidRPr="00861DC0">
        <w:rPr>
          <w:rStyle w:val="Refterm"/>
          <w:b w:val="0"/>
        </w:rPr>
        <w:t>Masinter</w:t>
      </w:r>
      <w:proofErr w:type="spellEnd"/>
      <w:r w:rsidRPr="00861DC0">
        <w:rPr>
          <w:rStyle w:val="Refterm"/>
          <w:b w:val="0"/>
        </w:rPr>
        <w:t>,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49"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2" w:name="rfc5646"/>
      <w:r w:rsidRPr="00924B44">
        <w:rPr>
          <w:b/>
        </w:rPr>
        <w:t>RFC5646</w:t>
      </w:r>
      <w:bookmarkEnd w:id="42"/>
      <w:r w:rsidRPr="00924B44">
        <w:rPr>
          <w:b/>
        </w:rPr>
        <w:t>]</w:t>
      </w:r>
      <w:r>
        <w:tab/>
        <w:t>Phillips, A. and Davis, M., “Tags for Identifying Languages</w:t>
      </w:r>
      <w:r w:rsidR="0029378C">
        <w:t>,</w:t>
      </w:r>
      <w:r>
        <w:t>” BCP 47, RFC 5646, September 2009.</w:t>
      </w:r>
      <w:r w:rsidR="007458D6">
        <w:t xml:space="preserve"> Available: </w:t>
      </w:r>
      <w:hyperlink r:id="rId50"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3" w:name="W3Name"/>
      <w:r>
        <w:rPr>
          <w:b/>
        </w:rPr>
        <w:t>W3Name</w:t>
      </w:r>
      <w:bookmarkEnd w:id="43"/>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1"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4" w:name="W3DT"/>
      <w:r>
        <w:rPr>
          <w:b/>
        </w:rPr>
        <w:t>W3DT</w:t>
      </w:r>
      <w:bookmarkEnd w:id="44"/>
      <w:r>
        <w:rPr>
          <w:b/>
        </w:rPr>
        <w:t>]</w:t>
      </w:r>
      <w:r>
        <w:rPr>
          <w:b/>
        </w:rPr>
        <w:tab/>
      </w:r>
      <w:r w:rsidR="0029378C">
        <w:rPr>
          <w:b/>
        </w:rPr>
        <w:t>“</w:t>
      </w:r>
      <w:r w:rsidRPr="00D439D7">
        <w:t xml:space="preserve">XML Schema Part 2: </w:t>
      </w:r>
      <w:proofErr w:type="spellStart"/>
      <w:r w:rsidRPr="000562B6">
        <w:t>Datatypes</w:t>
      </w:r>
      <w:proofErr w:type="spellEnd"/>
      <w:r w:rsidRPr="000562B6">
        <w:t xml:space="preserve"> Second Edition</w:t>
      </w:r>
      <w:r w:rsidR="0029378C">
        <w:t>,” W3C Recommendation, 28 October 2004. Available:</w:t>
      </w:r>
      <w:r w:rsidRPr="000562B6">
        <w:t xml:space="preserve"> </w:t>
      </w:r>
      <w:hyperlink r:id="rId52"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5" w:name="_Toc85472895"/>
      <w:bookmarkStart w:id="46" w:name="_Toc287332009"/>
      <w:bookmarkStart w:id="47" w:name="_Ref428000779"/>
      <w:bookmarkStart w:id="48" w:name="_Toc429676493"/>
      <w:r>
        <w:t>Non-Normative References</w:t>
      </w:r>
      <w:bookmarkEnd w:id="45"/>
      <w:bookmarkEnd w:id="46"/>
      <w:bookmarkEnd w:id="47"/>
      <w:bookmarkEnd w:id="48"/>
    </w:p>
    <w:p w14:paraId="35E02474" w14:textId="3CAEFA12" w:rsidR="00386036" w:rsidRDefault="00386036" w:rsidP="00AE0702">
      <w:pPr>
        <w:pStyle w:val="Ref"/>
      </w:pPr>
      <w:r>
        <w:rPr>
          <w:b/>
        </w:rPr>
        <w:t>[</w:t>
      </w:r>
      <w:bookmarkStart w:id="49" w:name="githubio"/>
      <w:proofErr w:type="spellStart"/>
      <w:r>
        <w:rPr>
          <w:b/>
        </w:rPr>
        <w:t>G</w:t>
      </w:r>
      <w:r w:rsidR="00C4524F">
        <w:rPr>
          <w:b/>
        </w:rPr>
        <w:t>it</w:t>
      </w:r>
      <w:r>
        <w:rPr>
          <w:b/>
        </w:rPr>
        <w:t>H</w:t>
      </w:r>
      <w:r w:rsidR="00C4524F">
        <w:rPr>
          <w:b/>
        </w:rPr>
        <w:t>ub</w:t>
      </w:r>
      <w:proofErr w:type="spellEnd"/>
      <w:r>
        <w:rPr>
          <w:b/>
        </w:rPr>
        <w:t>-IO</w:t>
      </w:r>
      <w:bookmarkEnd w:id="49"/>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w:t>
      </w:r>
      <w:proofErr w:type="spellStart"/>
      <w:r w:rsidR="002904C0" w:rsidRPr="00EF0C0B">
        <w:t>n.d.</w:t>
      </w:r>
      <w:proofErr w:type="spellEnd"/>
      <w:r w:rsidR="002904C0" w:rsidRPr="00EF0C0B">
        <w:t xml:space="preserve">). </w:t>
      </w:r>
      <w:r w:rsidR="00942B1E" w:rsidRPr="00EF0C0B">
        <w:t xml:space="preserve">The MITRE Corporation. </w:t>
      </w:r>
      <w:r w:rsidR="002904C0" w:rsidRPr="00EF0C0B">
        <w:t>[Online]. Available:</w:t>
      </w:r>
      <w:r w:rsidRPr="00EF0C0B">
        <w:t xml:space="preserve"> </w:t>
      </w:r>
      <w:hyperlink r:id="rId53"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0" w:name="STIXMAEC"/>
      <w:r>
        <w:rPr>
          <w:b/>
        </w:rPr>
        <w:t>STIX-MAEC</w:t>
      </w:r>
      <w:bookmarkEnd w:id="50"/>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4"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1" w:name="STIXW"/>
      <w:r w:rsidRPr="000F341C">
        <w:rPr>
          <w:b/>
        </w:rPr>
        <w:t>STIX-W</w:t>
      </w:r>
      <w:bookmarkEnd w:id="51"/>
      <w:r>
        <w:t>]</w:t>
      </w:r>
      <w:r>
        <w:tab/>
      </w:r>
      <w:r w:rsidR="003E0673" w:rsidRPr="003E0673">
        <w:t>Barnum, S., “</w:t>
      </w:r>
      <w:r w:rsidRPr="003E0673">
        <w:t xml:space="preserve">Standardizing Cyber Threat Intelligence with the Structured Threat Information </w:t>
      </w:r>
      <w:proofErr w:type="spellStart"/>
      <w:r w:rsidRPr="003E0673">
        <w:t>eXpression</w:t>
      </w:r>
      <w:proofErr w:type="spellEnd"/>
      <w:r w:rsidRPr="003E0673">
        <w:t xml:space="preserve">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5"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2" w:name="UML241"/>
      <w:r w:rsidRPr="00581416">
        <w:rPr>
          <w:b/>
        </w:rPr>
        <w:t>UML-2.4.1</w:t>
      </w:r>
      <w:bookmarkEnd w:id="52"/>
      <w:r>
        <w:t>]</w:t>
      </w:r>
      <w:r>
        <w:tab/>
        <w:t xml:space="preserve">Documents associated with Unified </w:t>
      </w:r>
      <w:r w:rsidR="00451E41">
        <w:t>Modeling Language (UML), V2.4.1.</w:t>
      </w:r>
      <w:r>
        <w:t xml:space="preserve"> </w:t>
      </w:r>
      <w:r w:rsidR="00451E41">
        <w:t xml:space="preserve">(Aug. 2011). The Object Management Group (OMG). [Online]. Available: </w:t>
      </w:r>
      <w:hyperlink r:id="rId56"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3" w:name="_Ref427252903"/>
      <w:bookmarkStart w:id="54" w:name="_Toc429676494"/>
      <w:r>
        <w:lastRenderedPageBreak/>
        <w:t>Language Modularity</w:t>
      </w:r>
      <w:bookmarkEnd w:id="53"/>
      <w:bookmarkEnd w:id="54"/>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7">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5" w:name="_Ref389738758"/>
      <w:r w:rsidRPr="00015A05">
        <w:t xml:space="preserve">Figure </w:t>
      </w:r>
      <w:r w:rsidR="00DC1CC4">
        <w:fldChar w:fldCharType="begin"/>
      </w:r>
      <w:r w:rsidR="00DC1CC4">
        <w:instrText xml:space="preserve"> STYLER</w:instrText>
      </w:r>
      <w:r w:rsidR="00DC1CC4">
        <w:instrText xml:space="preserve">EF 1 \s </w:instrText>
      </w:r>
      <w:r w:rsidR="00DC1CC4">
        <w:fldChar w:fldCharType="separate"/>
      </w:r>
      <w:r w:rsidR="00991BDE">
        <w:rPr>
          <w:noProof/>
        </w:rPr>
        <w:t>2</w:t>
      </w:r>
      <w:r w:rsidR="00DC1CC4">
        <w:rPr>
          <w:noProof/>
        </w:rPr>
        <w:fldChar w:fldCharType="end"/>
      </w:r>
      <w:r w:rsidRPr="00015A05">
        <w:noBreakHyphen/>
      </w:r>
      <w:r w:rsidR="00DC1CC4">
        <w:fldChar w:fldCharType="begin"/>
      </w:r>
      <w:r w:rsidR="00DC1CC4">
        <w:instrText xml:space="preserve"> SEQ Figure \* ARABIC \s 1 </w:instrText>
      </w:r>
      <w:r w:rsidR="00DC1CC4">
        <w:fldChar w:fldCharType="separate"/>
      </w:r>
      <w:r w:rsidR="00991BDE">
        <w:rPr>
          <w:noProof/>
        </w:rPr>
        <w:t>1</w:t>
      </w:r>
      <w:r w:rsidR="00DC1CC4">
        <w:rPr>
          <w:noProof/>
        </w:rPr>
        <w:fldChar w:fldCharType="end"/>
      </w:r>
      <w:bookmarkEnd w:id="55"/>
      <w:r w:rsidRPr="00015A05">
        <w:t>. The STIX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6" w:name="_Ref427251669"/>
      <w:bookmarkStart w:id="57" w:name="_Toc429676495"/>
      <w:r>
        <w:t>Core Data Model</w:t>
      </w:r>
      <w:bookmarkEnd w:id="56"/>
      <w:bookmarkEnd w:id="57"/>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w:t>
      </w:r>
      <w:proofErr w:type="spellStart"/>
      <w:r>
        <w:t>instantial</w:t>
      </w:r>
      <w:proofErr w:type="spellEnd"/>
      <w:r>
        <w:t xml:space="preserve">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58" w:name="_Ref427251679"/>
      <w:bookmarkStart w:id="59" w:name="_Toc429676496"/>
      <w:r>
        <w:t>Common Data Model</w:t>
      </w:r>
      <w:bookmarkEnd w:id="58"/>
      <w:bookmarkEnd w:id="59"/>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0" w:name="_Ref427251602"/>
      <w:bookmarkStart w:id="61" w:name="_Toc429676497"/>
      <w:r>
        <w:t>Component Data Models</w:t>
      </w:r>
      <w:bookmarkEnd w:id="60"/>
      <w:bookmarkEnd w:id="61"/>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proofErr w:type="spellStart"/>
        <w:r w:rsidRPr="000F341C">
          <w:rPr>
            <w:rStyle w:val="Hyperlink"/>
          </w:rPr>
          <w:t>CybOX</w:t>
        </w:r>
        <w:proofErr w:type="spellEnd"/>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2" w:name="_Toc429676498"/>
      <w:r>
        <w:t>Observable</w:t>
      </w:r>
      <w:bookmarkEnd w:id="62"/>
    </w:p>
    <w:p w14:paraId="3A147D4F" w14:textId="4D94397D" w:rsidR="00530E23" w:rsidRDefault="00530E23" w:rsidP="00530E23">
      <w:r w:rsidRPr="00D02C95">
        <w:t xml:space="preserve">A STIX Observable (as defined with the </w:t>
      </w:r>
      <w:hyperlink w:anchor="RelatedWork" w:history="1">
        <w:proofErr w:type="spellStart"/>
        <w:r w:rsidRPr="000F341C">
          <w:rPr>
            <w:rStyle w:val="Hyperlink"/>
          </w:rPr>
          <w:t>CybOX</w:t>
        </w:r>
        <w:proofErr w:type="spellEnd"/>
      </w:hyperlink>
      <w:r w:rsidRPr="00D02C95">
        <w:t xml:space="preserve"> Language) represents </w:t>
      </w:r>
      <w:proofErr w:type="spellStart"/>
      <w:r w:rsidRPr="00D02C95">
        <w:t>stateful</w:t>
      </w:r>
      <w:proofErr w:type="spellEnd"/>
      <w:r w:rsidRPr="00D02C95">
        <w:t xml:space="preserve">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 xml:space="preserve">relationship between </w:t>
      </w:r>
      <w:proofErr w:type="spellStart"/>
      <w:r>
        <w:t>CybOX</w:t>
      </w:r>
      <w:proofErr w:type="spellEnd"/>
      <w:r>
        <w:t xml:space="preserve"> and STIX.</w:t>
      </w:r>
    </w:p>
    <w:p w14:paraId="3F180D40" w14:textId="77777777" w:rsidR="00530E23" w:rsidRDefault="00530E23" w:rsidP="00530E23">
      <w:pPr>
        <w:pStyle w:val="Heading3"/>
      </w:pPr>
      <w:bookmarkStart w:id="63" w:name="_Toc429676499"/>
      <w:r>
        <w:t>Indicator</w:t>
      </w:r>
      <w:bookmarkEnd w:id="63"/>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4" w:name="_Toc429676500"/>
      <w:r>
        <w:t>Incident</w:t>
      </w:r>
      <w:bookmarkEnd w:id="64"/>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8">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5" w:name="_Ref389653719"/>
      <w:bookmarkStart w:id="66" w:name="_Ref389859843"/>
      <w:bookmarkStart w:id="67"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5"/>
      <w:r w:rsidRPr="001829C5">
        <w:t xml:space="preserve">. </w:t>
      </w:r>
      <w:r>
        <w:t xml:space="preserve">A STIX Package encompasses the STIX individual component </w:t>
      </w:r>
      <w:bookmarkEnd w:id="66"/>
      <w:r>
        <w:t>data models</w:t>
      </w:r>
      <w:bookmarkEnd w:id="67"/>
    </w:p>
    <w:p w14:paraId="2A68A933" w14:textId="77777777" w:rsidR="00FB0E36" w:rsidRDefault="00FB0E36" w:rsidP="00FB0E36">
      <w:pPr>
        <w:pStyle w:val="Heading3"/>
      </w:pPr>
      <w:bookmarkStart w:id="68" w:name="_Toc429676501"/>
      <w:r>
        <w:lastRenderedPageBreak/>
        <w:t>Tactic, Techniques and Procedures (TTP)</w:t>
      </w:r>
      <w:bookmarkEnd w:id="68"/>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69" w:name="_Toc429676502"/>
      <w:r>
        <w:t>Campaign</w:t>
      </w:r>
      <w:bookmarkEnd w:id="69"/>
    </w:p>
    <w:p w14:paraId="77DF6826" w14:textId="6636790F" w:rsidR="00FB0E36" w:rsidRPr="00FB0E36" w:rsidRDefault="00FB0E36" w:rsidP="00FB0E36">
      <w:r w:rsidRPr="00EE6BE1">
        <w:t xml:space="preserve">A STIX </w:t>
      </w:r>
      <w:hyperlink r:id="rId59"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0" w:name="_Toc429676503"/>
      <w:r>
        <w:t>Threat Actor</w:t>
      </w:r>
      <w:bookmarkEnd w:id="70"/>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1" w:name="_Toc429676504"/>
      <w:r>
        <w:t>Exploit Target</w:t>
      </w:r>
      <w:bookmarkEnd w:id="71"/>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2" w:name="_Toc429676505"/>
      <w:r>
        <w:t>Course of Action (COA)</w:t>
      </w:r>
      <w:bookmarkEnd w:id="72"/>
    </w:p>
    <w:p w14:paraId="35C2E8D0" w14:textId="5563E8DC" w:rsidR="00FB0E36" w:rsidRPr="00FB0E36" w:rsidRDefault="00FB0E36" w:rsidP="00FB0E36">
      <w:r w:rsidRPr="00791A64">
        <w:t xml:space="preserve">A STIX </w:t>
      </w:r>
      <w:hyperlink r:id="rId60"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3" w:name="_Toc429676506"/>
      <w:r>
        <w:t>Report</w:t>
      </w:r>
      <w:bookmarkEnd w:id="73"/>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4" w:name="_Ref427251707"/>
      <w:bookmarkStart w:id="75" w:name="_Toc429676507"/>
      <w:r>
        <w:t>Data Marking Data Model</w:t>
      </w:r>
      <w:bookmarkEnd w:id="74"/>
      <w:bookmarkEnd w:id="75"/>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6" w:name="_Ref404938597"/>
      <w:bookmarkStart w:id="77" w:name="_Toc421724790"/>
      <w:bookmarkStart w:id="78" w:name="_Toc429676508"/>
      <w:r>
        <w:t>Default Extensions</w:t>
      </w:r>
      <w:bookmarkEnd w:id="76"/>
      <w:r>
        <w:t xml:space="preserve"> Data Model</w:t>
      </w:r>
      <w:bookmarkEnd w:id="77"/>
      <w:bookmarkEnd w:id="78"/>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r w:rsidR="00DC1CC4">
        <w:fldChar w:fldCharType="begin"/>
      </w:r>
      <w:r w:rsidR="00DC1CC4">
        <w:instrText xml:space="preserve"> HYPERLINK \l "maec" </w:instrText>
      </w:r>
      <w:r w:rsidR="00DC1CC4">
        <w:fldChar w:fldCharType="separate"/>
      </w:r>
      <w:r w:rsidR="00D904F5">
        <w:rPr>
          <w:rStyle w:val="Hyperlink"/>
          <w:b/>
          <w:lang w:val="en"/>
        </w:rPr>
        <w:t>[MAEC]</w:t>
      </w:r>
      <w:r w:rsidR="00DC1CC4">
        <w:rPr>
          <w:rStyle w:val="Hyperlink"/>
          <w:b/>
          <w:lang w:val="en"/>
        </w:rPr>
        <w:fldChar w:fldCharType="end"/>
      </w:r>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proofErr w:type="gramStart"/>
      <w:r>
        <w:lastRenderedPageBreak/>
        <w:t>High level</w:t>
      </w:r>
      <w:proofErr w:type="gramEnd"/>
      <w:r>
        <w:t xml:space="preserve">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79" w:name="_Ref404938565"/>
      <w:bookmarkStart w:id="80" w:name="_Toc421724791"/>
      <w:bookmarkStart w:id="81" w:name="_Toc429676509"/>
      <w:r>
        <w:t>Default Vocabularies</w:t>
      </w:r>
      <w:bookmarkEnd w:id="79"/>
      <w:bookmarkEnd w:id="80"/>
      <w:bookmarkEnd w:id="81"/>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2" w:name="_Toc421724792"/>
      <w:bookmarkStart w:id="83" w:name="_Toc429676510"/>
      <w:r>
        <w:t>Basic Data Types</w:t>
      </w:r>
      <w:bookmarkEnd w:id="82"/>
      <w:bookmarkEnd w:id="83"/>
    </w:p>
    <w:p w14:paraId="64D1C8F8" w14:textId="245A75F7" w:rsidR="00FB0E36" w:rsidRDefault="00FB0E36" w:rsidP="00FB0E36">
      <w:pPr>
        <w:spacing w:after="240"/>
      </w:pPr>
      <w:r>
        <w:t xml:space="preserve">The Basic Data Types data model defines UML data types used in STIX and </w:t>
      </w:r>
      <w:proofErr w:type="spellStart"/>
      <w:r>
        <w:t>CybOX</w:t>
      </w:r>
      <w:proofErr w:type="spellEnd"/>
      <w:r>
        <w:t xml:space="preserve">.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proofErr w:type="spellStart"/>
      <w:r>
        <w:rPr>
          <w:rFonts w:ascii="Courier New" w:hAnsi="Courier New" w:cs="Courier New"/>
        </w:rPr>
        <w:t>UnlimitedNatural</w:t>
      </w:r>
      <w:proofErr w:type="spellEnd"/>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4" w:name="_Ref417204726"/>
      <w:bookmarkStart w:id="85" w:name="_Toc421724793"/>
      <w:bookmarkStart w:id="86" w:name="_Toc429676511"/>
      <w:r>
        <w:t>Common Basic Data Types</w:t>
      </w:r>
      <w:bookmarkEnd w:id="84"/>
      <w:bookmarkEnd w:id="85"/>
      <w:bookmarkEnd w:id="86"/>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w:t>
      </w:r>
      <w:proofErr w:type="spellStart"/>
      <w:r>
        <w:t>DataTypes</w:t>
      </w:r>
      <w:proofErr w:type="spellEnd"/>
      <w:r>
        <w:t xml:space="preserve">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7" w:name="_Ref417202734"/>
      <w:r w:rsidRPr="00FB0E36">
        <w:t xml:space="preserve">Table </w:t>
      </w:r>
      <w:r w:rsidR="00DC1CC4">
        <w:fldChar w:fldCharType="begin"/>
      </w:r>
      <w:r w:rsidR="00DC1CC4">
        <w:instrText xml:space="preserve"> STYLEREF 1 \s </w:instrText>
      </w:r>
      <w:r w:rsidR="00DC1CC4">
        <w:fldChar w:fldCharType="separate"/>
      </w:r>
      <w:r w:rsidR="00991BDE">
        <w:rPr>
          <w:noProof/>
        </w:rPr>
        <w:t>2</w:t>
      </w:r>
      <w:r w:rsidR="00DC1CC4">
        <w:rPr>
          <w:noProof/>
        </w:rPr>
        <w:fldChar w:fldCharType="end"/>
      </w:r>
      <w:r w:rsidRPr="00FB0E36">
        <w:noBreakHyphen/>
      </w:r>
      <w:r w:rsidR="00DC1CC4">
        <w:fldChar w:fldCharType="begin"/>
      </w:r>
      <w:r w:rsidR="00DC1CC4">
        <w:instrText xml:space="preserve"> SEQ Table \* ARABIC \s 1 </w:instrText>
      </w:r>
      <w:r w:rsidR="00DC1CC4">
        <w:fldChar w:fldCharType="separate"/>
      </w:r>
      <w:r w:rsidR="00991BDE">
        <w:rPr>
          <w:noProof/>
        </w:rPr>
        <w:t>1</w:t>
      </w:r>
      <w:r w:rsidR="00DC1CC4">
        <w:rPr>
          <w:noProof/>
        </w:rPr>
        <w:fldChar w:fldCharType="end"/>
      </w:r>
      <w:bookmarkEnd w:id="87"/>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proofErr w:type="spellStart"/>
            <w:r w:rsidRPr="00D92A40">
              <w:rPr>
                <w:rFonts w:ascii="Courier New" w:hAnsi="Courier New" w:cs="Courier New"/>
              </w:rPr>
              <w:t>BasicString</w:t>
            </w:r>
            <w:proofErr w:type="spellEnd"/>
          </w:p>
        </w:tc>
        <w:tc>
          <w:tcPr>
            <w:tcW w:w="6138" w:type="dxa"/>
            <w:vAlign w:val="center"/>
          </w:tcPr>
          <w:p w14:paraId="71DE0145" w14:textId="77777777" w:rsidR="00FB0E36" w:rsidRPr="00371230" w:rsidRDefault="00FB0E36" w:rsidP="00FB0E36">
            <w:r w:rsidRPr="00371230">
              <w:t xml:space="preserve">The </w:t>
            </w:r>
            <w:proofErr w:type="spellStart"/>
            <w:r w:rsidRPr="00371230">
              <w:rPr>
                <w:rFonts w:ascii="Courier New" w:hAnsi="Courier New" w:cs="Courier New"/>
              </w:rPr>
              <w:t>BasicString</w:t>
            </w:r>
            <w:proofErr w:type="spellEnd"/>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w:t>
            </w:r>
            <w:proofErr w:type="spellStart"/>
            <w:r>
              <w:t>interveaning</w:t>
            </w:r>
            <w:proofErr w:type="spellEnd"/>
            <w:r>
              <w:t xml:space="preserve">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proofErr w:type="spellStart"/>
            <w:r w:rsidRPr="00D92A40">
              <w:rPr>
                <w:rFonts w:ascii="Courier New" w:hAnsi="Courier New" w:cs="Courier New"/>
              </w:rPr>
              <w:lastRenderedPageBreak/>
              <w:t>NonNegativeInteger</w:t>
            </w:r>
            <w:proofErr w:type="spellEnd"/>
          </w:p>
        </w:tc>
        <w:tc>
          <w:tcPr>
            <w:tcW w:w="6138" w:type="dxa"/>
            <w:vAlign w:val="center"/>
          </w:tcPr>
          <w:p w14:paraId="45240CBA" w14:textId="77777777" w:rsidR="00FB0E36" w:rsidRDefault="00FB0E36" w:rsidP="00FB0E36">
            <w:r>
              <w:t xml:space="preserve">The </w:t>
            </w:r>
            <w:proofErr w:type="spellStart"/>
            <w:r w:rsidRPr="00D92A40">
              <w:rPr>
                <w:rFonts w:ascii="Courier New" w:hAnsi="Courier New" w:cs="Courier New"/>
              </w:rPr>
              <w:t>NonNegativeInteger</w:t>
            </w:r>
            <w:proofErr w:type="spellEnd"/>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proofErr w:type="spellStart"/>
            <w:r w:rsidRPr="00D92A40">
              <w:rPr>
                <w:rFonts w:ascii="Courier New" w:hAnsi="Courier New" w:cs="Courier New"/>
              </w:rPr>
              <w:t>PositiveInteger</w:t>
            </w:r>
            <w:proofErr w:type="spellEnd"/>
          </w:p>
        </w:tc>
        <w:tc>
          <w:tcPr>
            <w:tcW w:w="6138" w:type="dxa"/>
            <w:vAlign w:val="center"/>
          </w:tcPr>
          <w:p w14:paraId="1D0C9938" w14:textId="77777777" w:rsidR="00FB0E36" w:rsidRDefault="00FB0E36" w:rsidP="00FB0E36">
            <w:r>
              <w:t xml:space="preserve">The </w:t>
            </w:r>
            <w:proofErr w:type="spellStart"/>
            <w:r w:rsidRPr="00D92A40">
              <w:rPr>
                <w:rFonts w:ascii="Courier New" w:hAnsi="Courier New" w:cs="Courier New"/>
              </w:rPr>
              <w:t>PositiveInteger</w:t>
            </w:r>
            <w:proofErr w:type="spellEnd"/>
            <w:r>
              <w:t xml:space="preserve"> data type is a restriction on the </w:t>
            </w:r>
            <w:proofErr w:type="spellStart"/>
            <w:r>
              <w:t>NonNegativeInteger</w:t>
            </w:r>
            <w:proofErr w:type="spellEnd"/>
            <w:r>
              <w:t xml:space="preserve"> data type that disallows zero (0).</w:t>
            </w:r>
          </w:p>
        </w:tc>
      </w:tr>
    </w:tbl>
    <w:p w14:paraId="55A2EB43" w14:textId="77777777" w:rsidR="00FB0E36" w:rsidRDefault="00FB0E36" w:rsidP="00FB0E36">
      <w:pPr>
        <w:pStyle w:val="Heading3"/>
        <w:tabs>
          <w:tab w:val="num" w:pos="720"/>
        </w:tabs>
        <w:spacing w:before="360" w:after="60"/>
      </w:pPr>
      <w:bookmarkStart w:id="88" w:name="_Ref417204737"/>
      <w:bookmarkStart w:id="89" w:name="_Toc421724794"/>
      <w:bookmarkStart w:id="90" w:name="_Toc429676512"/>
      <w:r>
        <w:t xml:space="preserve">Specializations of the </w:t>
      </w:r>
      <w:proofErr w:type="spellStart"/>
      <w:r>
        <w:t>BasicString</w:t>
      </w:r>
      <w:proofErr w:type="spellEnd"/>
      <w:r>
        <w:t xml:space="preserve"> Data Type</w:t>
      </w:r>
      <w:bookmarkEnd w:id="88"/>
      <w:bookmarkEnd w:id="89"/>
      <w:bookmarkEnd w:id="90"/>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w:t>
      </w:r>
      <w:proofErr w:type="spellStart"/>
      <w:r>
        <w:t>sematics</w:t>
      </w:r>
      <w:proofErr w:type="spellEnd"/>
      <w:r>
        <w:t xml:space="preserve">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1" w:name="_Ref417204313"/>
      <w:r w:rsidRPr="00305518">
        <w:t xml:space="preserve">Table </w:t>
      </w:r>
      <w:r w:rsidR="00DC1CC4">
        <w:fldChar w:fldCharType="begin"/>
      </w:r>
      <w:r w:rsidR="00DC1CC4">
        <w:instrText xml:space="preserve"> STYLEREF 1 \s </w:instrText>
      </w:r>
      <w:r w:rsidR="00DC1CC4">
        <w:fldChar w:fldCharType="separate"/>
      </w:r>
      <w:r w:rsidR="00991BDE">
        <w:rPr>
          <w:noProof/>
        </w:rPr>
        <w:t>2</w:t>
      </w:r>
      <w:r w:rsidR="00DC1CC4">
        <w:rPr>
          <w:noProof/>
        </w:rPr>
        <w:fldChar w:fldCharType="end"/>
      </w:r>
      <w:r>
        <w:noBreakHyphen/>
      </w:r>
      <w:r w:rsidR="00DC1CC4">
        <w:fldChar w:fldCharType="begin"/>
      </w:r>
      <w:r w:rsidR="00DC1CC4">
        <w:instrText xml:space="preserve"> S</w:instrText>
      </w:r>
      <w:r w:rsidR="00DC1CC4">
        <w:instrText xml:space="preserve">EQ Table \* ARABIC \s 1 </w:instrText>
      </w:r>
      <w:r w:rsidR="00DC1CC4">
        <w:fldChar w:fldCharType="separate"/>
      </w:r>
      <w:r w:rsidR="00991BDE">
        <w:rPr>
          <w:noProof/>
        </w:rPr>
        <w:t>2</w:t>
      </w:r>
      <w:r w:rsidR="00DC1CC4">
        <w:rPr>
          <w:noProof/>
        </w:rPr>
        <w:fldChar w:fldCharType="end"/>
      </w:r>
      <w:bookmarkEnd w:id="91"/>
      <w:r w:rsidRPr="00305518">
        <w:t xml:space="preserve">.  </w:t>
      </w:r>
      <w:r>
        <w:t xml:space="preserve">Specializations of the </w:t>
      </w:r>
      <w:proofErr w:type="spellStart"/>
      <w:r w:rsidRPr="005B2FA5">
        <w:rPr>
          <w:rFonts w:ascii="Courier New" w:hAnsi="Courier New" w:cs="Courier New"/>
        </w:rPr>
        <w:t>BasicString</w:t>
      </w:r>
      <w:proofErr w:type="spellEnd"/>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proofErr w:type="spellStart"/>
            <w:r w:rsidRPr="00386D80">
              <w:rPr>
                <w:rFonts w:ascii="Courier New" w:hAnsi="Courier New" w:cs="Courier New"/>
              </w:rPr>
              <w:t>BasicString</w:t>
            </w:r>
            <w:proofErr w:type="spellEnd"/>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proofErr w:type="spellStart"/>
            <w:r w:rsidRPr="00386D80">
              <w:rPr>
                <w:rFonts w:ascii="Courier New" w:hAnsi="Courier New" w:cs="Courier New"/>
              </w:rPr>
              <w:t>BasicString</w:t>
            </w:r>
            <w:proofErr w:type="spellEnd"/>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proofErr w:type="spellStart"/>
            <w:r w:rsidRPr="00386D80">
              <w:rPr>
                <w:rFonts w:ascii="Courier New" w:hAnsi="Courier New" w:cs="Courier New"/>
              </w:rPr>
              <w:t>BasicString</w:t>
            </w:r>
            <w:proofErr w:type="spellEnd"/>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proofErr w:type="spellStart"/>
            <w:r w:rsidRPr="00386D80">
              <w:rPr>
                <w:rFonts w:ascii="Courier New" w:hAnsi="Courier New" w:cs="Courier New"/>
              </w:rPr>
              <w:t>BasicString</w:t>
            </w:r>
            <w:proofErr w:type="spellEnd"/>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proofErr w:type="spellStart"/>
            <w:r w:rsidRPr="00991E78">
              <w:rPr>
                <w:rFonts w:ascii="Courier New" w:hAnsi="Courier New" w:cs="Courier New"/>
              </w:rPr>
              <w:t>DateTime</w:t>
            </w:r>
            <w:proofErr w:type="spellEnd"/>
          </w:p>
        </w:tc>
        <w:tc>
          <w:tcPr>
            <w:tcW w:w="5778" w:type="dxa"/>
            <w:vAlign w:val="center"/>
          </w:tcPr>
          <w:p w14:paraId="064DD637" w14:textId="1F0543F9" w:rsidR="00FB0E36" w:rsidRDefault="00FB0E36" w:rsidP="00FB0E36">
            <w:r>
              <w:t xml:space="preserve">The </w:t>
            </w:r>
            <w:proofErr w:type="spellStart"/>
            <w:r w:rsidRPr="00991E78">
              <w:rPr>
                <w:rFonts w:ascii="Courier New" w:hAnsi="Courier New" w:cs="Courier New"/>
              </w:rPr>
              <w:t>DateTime</w:t>
            </w:r>
            <w:proofErr w:type="spellEnd"/>
            <w:r>
              <w:t xml:space="preserve"> data type is a restriction on the </w:t>
            </w:r>
            <w:proofErr w:type="spellStart"/>
            <w:r w:rsidRPr="00386D80">
              <w:rPr>
                <w:rFonts w:ascii="Courier New" w:hAnsi="Courier New" w:cs="Courier New"/>
              </w:rPr>
              <w:t>BasicString</w:t>
            </w:r>
            <w:proofErr w:type="spellEnd"/>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proofErr w:type="spellStart"/>
            <w:r w:rsidRPr="00991E78">
              <w:rPr>
                <w:rFonts w:ascii="Courier New" w:hAnsi="Courier New" w:cs="Courier New"/>
              </w:rPr>
              <w:t>HexBinary</w:t>
            </w:r>
            <w:proofErr w:type="spellEnd"/>
          </w:p>
        </w:tc>
        <w:tc>
          <w:tcPr>
            <w:tcW w:w="5778" w:type="dxa"/>
            <w:vAlign w:val="center"/>
          </w:tcPr>
          <w:p w14:paraId="5F9A9D12" w14:textId="77777777" w:rsidR="00FB0E36" w:rsidRDefault="00FB0E36" w:rsidP="00FB0E36">
            <w:r>
              <w:t xml:space="preserve">The </w:t>
            </w:r>
            <w:proofErr w:type="spellStart"/>
            <w:r w:rsidRPr="00991E78">
              <w:rPr>
                <w:rFonts w:ascii="Courier New" w:hAnsi="Courier New" w:cs="Courier New"/>
              </w:rPr>
              <w:t>HexBinary</w:t>
            </w:r>
            <w:proofErr w:type="spellEnd"/>
            <w:r>
              <w:t xml:space="preserve"> data type is a restriction on the </w:t>
            </w:r>
            <w:proofErr w:type="spellStart"/>
            <w:r w:rsidRPr="00386D80">
              <w:rPr>
                <w:rFonts w:ascii="Courier New" w:hAnsi="Courier New" w:cs="Courier New"/>
              </w:rPr>
              <w:t>BasicString</w:t>
            </w:r>
            <w:proofErr w:type="spellEnd"/>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proofErr w:type="spellStart"/>
            <w:r w:rsidRPr="00991E78">
              <w:rPr>
                <w:rFonts w:ascii="Courier New" w:hAnsi="Courier New" w:cs="Courier New"/>
              </w:rPr>
              <w:t>LanguageCode</w:t>
            </w:r>
            <w:proofErr w:type="spellEnd"/>
          </w:p>
        </w:tc>
        <w:tc>
          <w:tcPr>
            <w:tcW w:w="5778" w:type="dxa"/>
            <w:vAlign w:val="center"/>
          </w:tcPr>
          <w:p w14:paraId="75A7FB25" w14:textId="7095133D" w:rsidR="00FB0E36" w:rsidRDefault="00FB0E36" w:rsidP="00E81EA9">
            <w:r>
              <w:t xml:space="preserve">The </w:t>
            </w:r>
            <w:proofErr w:type="spellStart"/>
            <w:r w:rsidRPr="00991E78">
              <w:rPr>
                <w:rFonts w:ascii="Courier New" w:hAnsi="Courier New" w:cs="Courier New"/>
              </w:rPr>
              <w:t>LanguageCode</w:t>
            </w:r>
            <w:proofErr w:type="spellEnd"/>
            <w:r>
              <w:t xml:space="preserve"> data type is a restriction on the </w:t>
            </w:r>
            <w:proofErr w:type="spellStart"/>
            <w:r w:rsidRPr="00386D80">
              <w:rPr>
                <w:rFonts w:ascii="Courier New" w:hAnsi="Courier New" w:cs="Courier New"/>
              </w:rPr>
              <w:t>BasicString</w:t>
            </w:r>
            <w:proofErr w:type="spellEnd"/>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proofErr w:type="spellStart"/>
            <w:r w:rsidRPr="00991E78">
              <w:rPr>
                <w:rFonts w:ascii="Courier New" w:hAnsi="Courier New" w:cs="Courier New"/>
              </w:rPr>
              <w:t>QualifiedName</w:t>
            </w:r>
            <w:proofErr w:type="spellEnd"/>
          </w:p>
        </w:tc>
        <w:tc>
          <w:tcPr>
            <w:tcW w:w="5778" w:type="dxa"/>
            <w:vAlign w:val="center"/>
          </w:tcPr>
          <w:p w14:paraId="522D8CCB" w14:textId="3993004E" w:rsidR="00FB0E36" w:rsidRDefault="00FB0E36" w:rsidP="00E81EA9">
            <w:r>
              <w:t xml:space="preserve">The </w:t>
            </w:r>
            <w:proofErr w:type="spellStart"/>
            <w:r w:rsidRPr="00983E15">
              <w:rPr>
                <w:rFonts w:ascii="Courier New" w:hAnsi="Courier New" w:cs="Courier New"/>
              </w:rPr>
              <w:t>QualifiedName</w:t>
            </w:r>
            <w:proofErr w:type="spellEnd"/>
            <w:r>
              <w:t xml:space="preserve"> data type is a restriction on the </w:t>
            </w:r>
            <w:proofErr w:type="spellStart"/>
            <w:r w:rsidRPr="00983E15">
              <w:rPr>
                <w:rFonts w:ascii="Courier New" w:hAnsi="Courier New" w:cs="Courier New"/>
              </w:rPr>
              <w:t>BasicString</w:t>
            </w:r>
            <w:proofErr w:type="spellEnd"/>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proofErr w:type="spellStart"/>
            <w:r>
              <w:rPr>
                <w:rFonts w:ascii="Courier New" w:hAnsi="Courier New" w:cs="Courier New"/>
              </w:rPr>
              <w:t>NoEmbeddedQuote</w:t>
            </w:r>
            <w:r w:rsidRPr="00991E78">
              <w:rPr>
                <w:rFonts w:ascii="Courier New" w:hAnsi="Courier New" w:cs="Courier New"/>
              </w:rPr>
              <w:t>String</w:t>
            </w:r>
            <w:proofErr w:type="spellEnd"/>
          </w:p>
        </w:tc>
        <w:tc>
          <w:tcPr>
            <w:tcW w:w="5778" w:type="dxa"/>
            <w:vAlign w:val="center"/>
          </w:tcPr>
          <w:p w14:paraId="356A661F" w14:textId="77777777" w:rsidR="00FB0E36" w:rsidRDefault="00FB0E36" w:rsidP="00FB0E36">
            <w:r>
              <w:t xml:space="preserve">The </w:t>
            </w:r>
            <w:proofErr w:type="spellStart"/>
            <w:r>
              <w:rPr>
                <w:rFonts w:ascii="Courier New" w:hAnsi="Courier New" w:cs="Courier New"/>
              </w:rPr>
              <w:t>NoEmbeddedQuote</w:t>
            </w:r>
            <w:r w:rsidRPr="00983E15">
              <w:rPr>
                <w:rFonts w:ascii="Courier New" w:hAnsi="Courier New" w:cs="Courier New"/>
              </w:rPr>
              <w:t>String</w:t>
            </w:r>
            <w:proofErr w:type="spellEnd"/>
            <w:r>
              <w:t xml:space="preserve"> data type is a restriction on the </w:t>
            </w:r>
            <w:proofErr w:type="spellStart"/>
            <w:r w:rsidRPr="00983E15">
              <w:rPr>
                <w:rFonts w:ascii="Courier New" w:hAnsi="Courier New" w:cs="Courier New"/>
              </w:rPr>
              <w:t>BasicString</w:t>
            </w:r>
            <w:proofErr w:type="spellEnd"/>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proofErr w:type="spellStart"/>
            <w:r w:rsidRPr="00386D80">
              <w:rPr>
                <w:rFonts w:ascii="Courier New" w:hAnsi="Courier New" w:cs="Courier New"/>
              </w:rPr>
              <w:t>BasicString</w:t>
            </w:r>
            <w:proofErr w:type="spellEnd"/>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2" w:name="_Ref427252917"/>
      <w:bookmarkStart w:id="93" w:name="_Toc429676513"/>
      <w:bookmarkStart w:id="94" w:name="_Toc287332011"/>
      <w:r>
        <w:lastRenderedPageBreak/>
        <w:t>Data Model Conventions</w:t>
      </w:r>
      <w:bookmarkEnd w:id="92"/>
      <w:bookmarkEnd w:id="93"/>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5" w:name="_Toc421724796"/>
      <w:bookmarkStart w:id="96" w:name="_Toc429676514"/>
      <w:r>
        <w:t>UML Packages</w:t>
      </w:r>
      <w:bookmarkEnd w:id="95"/>
      <w:bookmarkEnd w:id="96"/>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proofErr w:type="spellStart"/>
      <w:r w:rsidRPr="00236A31">
        <w:rPr>
          <w:rFonts w:ascii="Courier New" w:hAnsi="Courier New" w:cs="Courier New"/>
          <w:szCs w:val="20"/>
        </w:rPr>
        <w:t>package_prefix:class</w:t>
      </w:r>
      <w:proofErr w:type="spellEnd"/>
      <w:r w:rsidRPr="00236A31">
        <w:rPr>
          <w:szCs w:val="20"/>
        </w:rPr>
        <w:t xml:space="preserve">, where </w:t>
      </w:r>
      <w:proofErr w:type="spellStart"/>
      <w:r w:rsidRPr="00236A31">
        <w:rPr>
          <w:rFonts w:ascii="Courier New" w:hAnsi="Courier New" w:cs="Courier New"/>
          <w:szCs w:val="20"/>
        </w:rPr>
        <w:t>package_prefix</w:t>
      </w:r>
      <w:proofErr w:type="spellEnd"/>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7" w:name="_Ref396992627"/>
      <w:r w:rsidRPr="00305518">
        <w:t xml:space="preserve">Table </w:t>
      </w:r>
      <w:r w:rsidR="00DC1CC4">
        <w:fldChar w:fldCharType="begin"/>
      </w:r>
      <w:r w:rsidR="00DC1CC4">
        <w:instrText xml:space="preserve"> STYLEREF 1 \s </w:instrText>
      </w:r>
      <w:r w:rsidR="00DC1CC4">
        <w:fldChar w:fldCharType="separate"/>
      </w:r>
      <w:r w:rsidR="00991BDE">
        <w:rPr>
          <w:noProof/>
        </w:rPr>
        <w:t>3</w:t>
      </w:r>
      <w:r w:rsidR="00DC1CC4">
        <w:rPr>
          <w:noProof/>
        </w:rPr>
        <w:fldChar w:fldCharType="end"/>
      </w:r>
      <w:r>
        <w:noBreakHyphen/>
      </w:r>
      <w:r w:rsidR="00DC1CC4">
        <w:fldChar w:fldCharType="begin"/>
      </w:r>
      <w:r w:rsidR="00DC1CC4">
        <w:instrText xml:space="preserve"> SEQ Table \* ARABIC \s 1 </w:instrText>
      </w:r>
      <w:r w:rsidR="00DC1CC4">
        <w:fldChar w:fldCharType="separate"/>
      </w:r>
      <w:r w:rsidR="00991BDE">
        <w:rPr>
          <w:noProof/>
        </w:rPr>
        <w:t>1</w:t>
      </w:r>
      <w:r w:rsidR="00DC1CC4">
        <w:rPr>
          <w:noProof/>
        </w:rPr>
        <w:fldChar w:fldCharType="end"/>
      </w:r>
      <w:bookmarkEnd w:id="97"/>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proofErr w:type="spellStart"/>
            <w:r w:rsidRPr="00663949">
              <w:rPr>
                <w:b/>
              </w:rPr>
              <w:t>stix</w:t>
            </w:r>
            <w:proofErr w:type="spellEnd"/>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proofErr w:type="spellStart"/>
            <w:r>
              <w:rPr>
                <w:rFonts w:ascii="Courier New" w:hAnsi="Courier New" w:cs="Courier New"/>
                <w:sz w:val="22"/>
              </w:rPr>
              <w:t>stix:TTPsType</w:t>
            </w:r>
            <w:proofErr w:type="spellEnd"/>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proofErr w:type="spellStart"/>
            <w:r w:rsidRPr="00663949">
              <w:rPr>
                <w:b/>
              </w:rPr>
              <w:t>stixCommon</w:t>
            </w:r>
            <w:proofErr w:type="spellEnd"/>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proofErr w:type="spellStart"/>
            <w:r>
              <w:rPr>
                <w:rFonts w:ascii="Courier New" w:hAnsi="Courier New" w:cs="Courier New"/>
                <w:sz w:val="22"/>
              </w:rPr>
              <w:t>stixCommon:ConfidenceType</w:t>
            </w:r>
            <w:proofErr w:type="spellEnd"/>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proofErr w:type="spellStart"/>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roofErr w:type="spellEnd"/>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proofErr w:type="spellStart"/>
            <w:r w:rsidRPr="00663949">
              <w:rPr>
                <w:b/>
              </w:rPr>
              <w:t>stixVocabs</w:t>
            </w:r>
            <w:proofErr w:type="spellEnd"/>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proofErr w:type="spellStart"/>
            <w:r>
              <w:rPr>
                <w:rFonts w:ascii="Courier New" w:hAnsi="Courier New" w:cs="Courier New"/>
                <w:sz w:val="22"/>
              </w:rPr>
              <w:t>stixVocabs:MalwareTypeVocab</w:t>
            </w:r>
            <w:proofErr w:type="spellEnd"/>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w:t>
            </w:r>
            <w:proofErr w:type="spellStart"/>
            <w:r>
              <w:rPr>
                <w:b/>
              </w:rPr>
              <w:t>ciq</w:t>
            </w:r>
            <w:proofErr w:type="spellEnd"/>
            <w:r>
              <w:rPr>
                <w:b/>
              </w:rPr>
              <w:t xml:space="preserve"> address); </w:t>
            </w:r>
            <w:proofErr w:type="spellStart"/>
            <w:r>
              <w:rPr>
                <w:b/>
              </w:rPr>
              <w:t>capec</w:t>
            </w:r>
            <w:proofErr w:type="spellEnd"/>
            <w:r>
              <w:rPr>
                <w:b/>
              </w:rPr>
              <w:t xml:space="preserve">; </w:t>
            </w:r>
            <w:proofErr w:type="spellStart"/>
            <w:r>
              <w:rPr>
                <w:b/>
              </w:rPr>
              <w:t>ciq</w:t>
            </w:r>
            <w:proofErr w:type="spellEnd"/>
            <w:r>
              <w:rPr>
                <w:b/>
              </w:rPr>
              <w:t xml:space="preserve">; </w:t>
            </w:r>
            <w:proofErr w:type="spellStart"/>
            <w:r>
              <w:rPr>
                <w:b/>
              </w:rPr>
              <w:t>stix-ciqidentity</w:t>
            </w:r>
            <w:proofErr w:type="spellEnd"/>
            <w:r>
              <w:rPr>
                <w:b/>
              </w:rPr>
              <w:t xml:space="preserve">; </w:t>
            </w:r>
            <w:proofErr w:type="spellStart"/>
            <w:r>
              <w:rPr>
                <w:b/>
              </w:rPr>
              <w:t>maec</w:t>
            </w:r>
            <w:proofErr w:type="spellEnd"/>
            <w:r>
              <w:rPr>
                <w:b/>
              </w:rPr>
              <w:t xml:space="preserve">; </w:t>
            </w:r>
            <w:proofErr w:type="spellStart"/>
            <w:r>
              <w:rPr>
                <w:b/>
              </w:rPr>
              <w:t>tlpMarking</w:t>
            </w:r>
            <w:proofErr w:type="spellEnd"/>
            <w:r>
              <w:rPr>
                <w:b/>
              </w:rPr>
              <w:t xml:space="preserve">; </w:t>
            </w:r>
            <w:proofErr w:type="spellStart"/>
            <w:r>
              <w:rPr>
                <w:b/>
              </w:rPr>
              <w:t>cvrf</w:t>
            </w:r>
            <w:proofErr w:type="spellEnd"/>
            <w:r>
              <w:rPr>
                <w:b/>
              </w:rPr>
              <w:t xml:space="preserve">; </w:t>
            </w:r>
            <w:proofErr w:type="spellStart"/>
            <w:r>
              <w:rPr>
                <w:b/>
              </w:rPr>
              <w:t>ioc</w:t>
            </w:r>
            <w:proofErr w:type="spellEnd"/>
            <w:r>
              <w:rPr>
                <w:b/>
              </w:rPr>
              <w:t>; oval-</w:t>
            </w:r>
            <w:proofErr w:type="spellStart"/>
            <w:r>
              <w:rPr>
                <w:b/>
              </w:rPr>
              <w:t>def</w:t>
            </w:r>
            <w:proofErr w:type="spellEnd"/>
            <w:r>
              <w:rPr>
                <w:b/>
              </w:rPr>
              <w:t>; oval-</w:t>
            </w:r>
            <w:proofErr w:type="spellStart"/>
            <w:r>
              <w:rPr>
                <w:b/>
              </w:rPr>
              <w:t>var</w:t>
            </w:r>
            <w:proofErr w:type="spellEnd"/>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proofErr w:type="spellStart"/>
            <w:r>
              <w:rPr>
                <w:rFonts w:ascii="Courier New" w:hAnsi="Courier New" w:cs="Courier New"/>
                <w:sz w:val="22"/>
              </w:rPr>
              <w:t>capec:Attack_PatternType</w:t>
            </w:r>
            <w:proofErr w:type="spellEnd"/>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proofErr w:type="spellStart"/>
            <w:r>
              <w:rPr>
                <w:b/>
              </w:rPr>
              <w:t>basicDataType</w:t>
            </w:r>
            <w:r w:rsidRPr="00663949">
              <w:rPr>
                <w:b/>
              </w:rPr>
              <w:t>s</w:t>
            </w:r>
            <w:proofErr w:type="spellEnd"/>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proofErr w:type="spellStart"/>
            <w:r>
              <w:rPr>
                <w:rFonts w:ascii="Courier New" w:hAnsi="Courier New" w:cs="Courier New"/>
                <w:sz w:val="22"/>
              </w:rPr>
              <w:t>basicDataTypes:URI</w:t>
            </w:r>
            <w:proofErr w:type="spellEnd"/>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proofErr w:type="spellStart"/>
            <w:r>
              <w:rPr>
                <w:rFonts w:ascii="Courier New" w:hAnsi="Courier New" w:cs="Courier New"/>
                <w:sz w:val="22"/>
              </w:rPr>
              <w:t>indicator:TestMechanismType</w:t>
            </w:r>
            <w:proofErr w:type="spellEnd"/>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proofErr w:type="spellStart"/>
            <w:r>
              <w:rPr>
                <w:rFonts w:ascii="Courier New" w:hAnsi="Courier New" w:cs="Courier New"/>
                <w:sz w:val="22"/>
              </w:rPr>
              <w:t>incident:AffectedAssetType</w:t>
            </w:r>
            <w:proofErr w:type="spellEnd"/>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proofErr w:type="spellStart"/>
            <w:r>
              <w:rPr>
                <w:b/>
              </w:rPr>
              <w:t>ttp</w:t>
            </w:r>
            <w:proofErr w:type="spellEnd"/>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proofErr w:type="spellStart"/>
            <w:r>
              <w:rPr>
                <w:rFonts w:ascii="Courier New" w:hAnsi="Courier New" w:cs="Courier New"/>
                <w:sz w:val="22"/>
              </w:rPr>
              <w:t>ttp:AttackPatternType</w:t>
            </w:r>
            <w:proofErr w:type="spellEnd"/>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proofErr w:type="spellStart"/>
            <w:r>
              <w:rPr>
                <w:rFonts w:ascii="Courier New" w:hAnsi="Courier New" w:cs="Courier New"/>
                <w:sz w:val="22"/>
              </w:rPr>
              <w:t>campaign:AttributionType</w:t>
            </w:r>
            <w:proofErr w:type="spellEnd"/>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proofErr w:type="spellStart"/>
            <w:r>
              <w:rPr>
                <w:rFonts w:ascii="Courier New" w:hAnsi="Courier New" w:cs="Courier New"/>
                <w:sz w:val="22"/>
              </w:rPr>
              <w:t>ta:ObservedTTPsType</w:t>
            </w:r>
            <w:proofErr w:type="spellEnd"/>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proofErr w:type="spellStart"/>
            <w:r>
              <w:rPr>
                <w:rFonts w:ascii="Courier New" w:hAnsi="Courier New" w:cs="Courier New"/>
                <w:sz w:val="22"/>
              </w:rPr>
              <w:t>et:ConfigurationType</w:t>
            </w:r>
            <w:proofErr w:type="spellEnd"/>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proofErr w:type="spellStart"/>
            <w:r>
              <w:rPr>
                <w:b/>
              </w:rPr>
              <w:t>coa</w:t>
            </w:r>
            <w:proofErr w:type="spellEnd"/>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proofErr w:type="spellStart"/>
            <w:r>
              <w:rPr>
                <w:rFonts w:ascii="Courier New" w:hAnsi="Courier New" w:cs="Courier New"/>
                <w:sz w:val="22"/>
              </w:rPr>
              <w:t>coa:StructuredCOAType</w:t>
            </w:r>
            <w:proofErr w:type="spellEnd"/>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proofErr w:type="spellStart"/>
            <w:r>
              <w:rPr>
                <w:rFonts w:ascii="Courier New" w:hAnsi="Courier New" w:cs="Courier New"/>
                <w:sz w:val="22"/>
              </w:rPr>
              <w:t>report:RelatedReportsType</w:t>
            </w:r>
            <w:proofErr w:type="spellEnd"/>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proofErr w:type="spellStart"/>
            <w:r>
              <w:rPr>
                <w:color w:val="FFFFFF" w:themeColor="background1"/>
              </w:rPr>
              <w:t>CybOX</w:t>
            </w:r>
            <w:proofErr w:type="spellEnd"/>
            <w:r>
              <w:rPr>
                <w:color w:val="FFFFFF" w:themeColor="background1"/>
              </w:rPr>
              <w:t xml:space="preserve">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proofErr w:type="spellStart"/>
            <w:r>
              <w:rPr>
                <w:b/>
              </w:rPr>
              <w:t>cybox</w:t>
            </w:r>
            <w:proofErr w:type="spellEnd"/>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proofErr w:type="spellStart"/>
              <w:r w:rsidRPr="00CB134F">
                <w:rPr>
                  <w:rStyle w:val="Hyperlink"/>
                </w:rPr>
                <w:t>CybOX</w:t>
              </w:r>
              <w:proofErr w:type="spellEnd"/>
            </w:hyperlink>
            <w:r>
              <w:t xml:space="preserve"> core data model defines the core constructs used in </w:t>
            </w:r>
            <w:proofErr w:type="spellStart"/>
            <w:r>
              <w:t>CybOX</w:t>
            </w:r>
            <w:proofErr w:type="spellEnd"/>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proofErr w:type="spellStart"/>
            <w:r>
              <w:rPr>
                <w:rFonts w:ascii="Courier New" w:hAnsi="Courier New" w:cs="Courier New"/>
                <w:sz w:val="22"/>
              </w:rPr>
              <w:t>cybox:ObservablesType</w:t>
            </w:r>
            <w:proofErr w:type="spellEnd"/>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98" w:name="_Toc421724797"/>
      <w:bookmarkStart w:id="99" w:name="_Toc429676515"/>
      <w:r>
        <w:lastRenderedPageBreak/>
        <w:t>Naming Conventions</w:t>
      </w:r>
      <w:bookmarkEnd w:id="98"/>
      <w:bookmarkEnd w:id="99"/>
    </w:p>
    <w:p w14:paraId="3C1AD3C3" w14:textId="733F6BFF"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bookmarkStart w:id="100" w:name="_GoBack"/>
      <w:bookmarkEnd w:id="100"/>
      <w:r>
        <w:t>.</w:t>
      </w:r>
    </w:p>
    <w:p w14:paraId="6C3ABC99" w14:textId="77777777" w:rsidR="00236A31" w:rsidRPr="00236A31" w:rsidRDefault="00236A31" w:rsidP="00236A31">
      <w:pPr>
        <w:pStyle w:val="Caption"/>
        <w:rPr>
          <w:b/>
        </w:rPr>
      </w:pPr>
      <w:bookmarkStart w:id="101" w:name="_Ref404253845"/>
      <w:r w:rsidRPr="00236A31">
        <w:t xml:space="preserve">Table </w:t>
      </w:r>
      <w:r w:rsidR="00DC1CC4">
        <w:fldChar w:fldCharType="begin"/>
      </w:r>
      <w:r w:rsidR="00DC1CC4">
        <w:instrText xml:space="preserve"> STYLEREF 1 \s </w:instrText>
      </w:r>
      <w:r w:rsidR="00DC1CC4">
        <w:fldChar w:fldCharType="separate"/>
      </w:r>
      <w:r w:rsidR="00991BDE">
        <w:rPr>
          <w:noProof/>
        </w:rPr>
        <w:t>3</w:t>
      </w:r>
      <w:r w:rsidR="00DC1CC4">
        <w:rPr>
          <w:noProof/>
        </w:rPr>
        <w:fldChar w:fldCharType="end"/>
      </w:r>
      <w:r w:rsidRPr="00236A31">
        <w:noBreakHyphen/>
      </w:r>
      <w:r w:rsidR="00DC1CC4">
        <w:fldChar w:fldCharType="begin"/>
      </w:r>
      <w:r w:rsidR="00DC1CC4">
        <w:instrText xml:space="preserve"> SEQ Table \* ARABIC \s 1 </w:instrText>
      </w:r>
      <w:r w:rsidR="00DC1CC4">
        <w:fldChar w:fldCharType="separate"/>
      </w:r>
      <w:r w:rsidR="00991BDE">
        <w:rPr>
          <w:noProof/>
        </w:rPr>
        <w:t>2</w:t>
      </w:r>
      <w:r w:rsidR="00DC1CC4">
        <w:rPr>
          <w:noProof/>
        </w:rPr>
        <w:fldChar w:fldCharType="end"/>
      </w:r>
      <w:bookmarkEnd w:id="101"/>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proofErr w:type="spellStart"/>
            <w:r>
              <w:t>CamelCase</w:t>
            </w:r>
            <w:proofErr w:type="spellEnd"/>
            <w:r>
              <w:t xml:space="preserve"> ending with “Type”</w:t>
            </w:r>
          </w:p>
        </w:tc>
        <w:tc>
          <w:tcPr>
            <w:tcW w:w="3240" w:type="dxa"/>
            <w:vAlign w:val="center"/>
          </w:tcPr>
          <w:p w14:paraId="46D7B596" w14:textId="77777777" w:rsidR="00236A31" w:rsidRDefault="00236A31" w:rsidP="00AB4D6E">
            <w:proofErr w:type="spellStart"/>
            <w:r>
              <w:t>IndicatorBaseType</w:t>
            </w:r>
            <w:proofErr w:type="spellEnd"/>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proofErr w:type="spellStart"/>
            <w:r>
              <w:t>capec_id</w:t>
            </w:r>
            <w:proofErr w:type="spellEnd"/>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proofErr w:type="spellStart"/>
            <w:r>
              <w:t>Associated_Actor</w:t>
            </w:r>
            <w:proofErr w:type="spellEnd"/>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proofErr w:type="spellStart"/>
            <w:r>
              <w:t>CamelCase</w:t>
            </w:r>
            <w:proofErr w:type="spellEnd"/>
            <w:r>
              <w:t xml:space="preserve"> ending with “</w:t>
            </w:r>
            <w:proofErr w:type="spellStart"/>
            <w:r>
              <w:t>Enum</w:t>
            </w:r>
            <w:proofErr w:type="spellEnd"/>
            <w:r>
              <w:t>” or “Type</w:t>
            </w:r>
          </w:p>
        </w:tc>
        <w:tc>
          <w:tcPr>
            <w:tcW w:w="3240" w:type="dxa"/>
            <w:vAlign w:val="center"/>
          </w:tcPr>
          <w:p w14:paraId="6A5E2F34" w14:textId="77777777" w:rsidR="00236A31" w:rsidRDefault="00236A31" w:rsidP="00AB4D6E">
            <w:proofErr w:type="spellStart"/>
            <w:r>
              <w:t>DateTimePrecisionEnum</w:t>
            </w:r>
            <w:proofErr w:type="spellEnd"/>
            <w:r>
              <w:t xml:space="preserve">; </w:t>
            </w:r>
            <w:proofErr w:type="spellStart"/>
            <w:r>
              <w:t>IndicatorVersionType</w:t>
            </w:r>
            <w:proofErr w:type="spellEnd"/>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proofErr w:type="spellStart"/>
            <w:r>
              <w:t>CamelCase</w:t>
            </w:r>
            <w:proofErr w:type="spellEnd"/>
            <w:r>
              <w:t xml:space="preserve"> or if the words are </w:t>
            </w:r>
            <w:proofErr w:type="spellStart"/>
            <w:r>
              <w:t>acroynms</w:t>
            </w:r>
            <w:proofErr w:type="spellEnd"/>
            <w:r>
              <w:t>, all capitalized with underscores between words.</w:t>
            </w:r>
          </w:p>
        </w:tc>
        <w:tc>
          <w:tcPr>
            <w:tcW w:w="3240" w:type="dxa"/>
            <w:vAlign w:val="center"/>
          </w:tcPr>
          <w:p w14:paraId="43DBD7D6" w14:textId="77777777" w:rsidR="00236A31" w:rsidRDefault="00236A31" w:rsidP="00AB4D6E">
            <w:proofErr w:type="spellStart"/>
            <w:r>
              <w:t>PositiveInteger</w:t>
            </w:r>
            <w:proofErr w:type="spellEnd"/>
            <w:r>
              <w:t>; CVE_ID</w:t>
            </w:r>
          </w:p>
        </w:tc>
      </w:tr>
    </w:tbl>
    <w:p w14:paraId="212C5C1B" w14:textId="77777777" w:rsidR="00236A31" w:rsidRDefault="00236A31" w:rsidP="00236A31">
      <w:pPr>
        <w:pStyle w:val="Heading2"/>
        <w:tabs>
          <w:tab w:val="num" w:pos="864"/>
        </w:tabs>
        <w:spacing w:before="360" w:after="60"/>
        <w:ind w:left="720" w:hanging="720"/>
      </w:pPr>
      <w:bookmarkStart w:id="102" w:name="_Toc421724798"/>
      <w:bookmarkStart w:id="103" w:name="_Toc429676516"/>
      <w:bookmarkStart w:id="104" w:name="_Ref400990175"/>
      <w:r>
        <w:t>Identifiers</w:t>
      </w:r>
      <w:bookmarkEnd w:id="102"/>
      <w:bookmarkEnd w:id="103"/>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w:t>
      </w:r>
      <w:proofErr w:type="spellStart"/>
      <w:r w:rsidRPr="007C6F15">
        <w:rPr>
          <w:rFonts w:ascii="Arial" w:hAnsi="Arial" w:cs="Arial"/>
          <w:color w:val="auto"/>
          <w:sz w:val="20"/>
          <w:szCs w:val="20"/>
        </w:rPr>
        <w:t>resharing</w:t>
      </w:r>
      <w:proofErr w:type="spellEnd"/>
      <w:r w:rsidRPr="007C6F15">
        <w:rPr>
          <w:rFonts w:ascii="Arial" w:hAnsi="Arial" w:cs="Arial"/>
          <w:color w:val="auto"/>
          <w:sz w:val="20"/>
          <w:szCs w:val="20"/>
        </w:rPr>
        <w:t xml:space="preserve"> of portions of STIX content (e.g., </w:t>
      </w:r>
      <w:proofErr w:type="spellStart"/>
      <w:r w:rsidRPr="007C6F15">
        <w:rPr>
          <w:rFonts w:ascii="Arial" w:hAnsi="Arial" w:cs="Arial"/>
          <w:color w:val="auto"/>
          <w:sz w:val="20"/>
          <w:szCs w:val="20"/>
        </w:rPr>
        <w:t>PartyB</w:t>
      </w:r>
      <w:proofErr w:type="spellEnd"/>
      <w:r w:rsidRPr="007C6F15">
        <w:rPr>
          <w:rFonts w:ascii="Arial" w:hAnsi="Arial" w:cs="Arial"/>
          <w:color w:val="auto"/>
          <w:sz w:val="20"/>
          <w:szCs w:val="20"/>
        </w:rPr>
        <w:t xml:space="preserve"> </w:t>
      </w:r>
      <w:proofErr w:type="spellStart"/>
      <w:r w:rsidRPr="007C6F15">
        <w:rPr>
          <w:rFonts w:ascii="Arial" w:hAnsi="Arial" w:cs="Arial"/>
          <w:color w:val="auto"/>
          <w:sz w:val="20"/>
          <w:szCs w:val="20"/>
        </w:rPr>
        <w:t>resharing</w:t>
      </w:r>
      <w:proofErr w:type="spellEnd"/>
      <w:r w:rsidRPr="007C6F15">
        <w:rPr>
          <w:rFonts w:ascii="Arial" w:hAnsi="Arial" w:cs="Arial"/>
          <w:color w:val="auto"/>
          <w:sz w:val="20"/>
          <w:szCs w:val="20"/>
        </w:rPr>
        <w:t xml:space="preserve"> two of a set of 100 Indicators received from </w:t>
      </w:r>
      <w:proofErr w:type="spellStart"/>
      <w:r w:rsidRPr="007C6F15">
        <w:rPr>
          <w:rFonts w:ascii="Arial" w:hAnsi="Arial" w:cs="Arial"/>
          <w:color w:val="auto"/>
          <w:sz w:val="20"/>
          <w:szCs w:val="20"/>
        </w:rPr>
        <w:t>PartyA</w:t>
      </w:r>
      <w:proofErr w:type="spellEnd"/>
      <w:r w:rsidRPr="007C6F15">
        <w:rPr>
          <w:rFonts w:ascii="Arial" w:hAnsi="Arial" w:cs="Arial"/>
          <w:color w:val="auto"/>
          <w:sz w:val="20"/>
          <w:szCs w:val="20"/>
        </w:rPr>
        <w:t>)</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4"/>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5" w:name="_Ref427252564"/>
      <w:bookmarkStart w:id="106" w:name="_Toc429676517"/>
      <w:r>
        <w:lastRenderedPageBreak/>
        <w:t>Relationships to Other Externally-defined Data Models</w:t>
      </w:r>
      <w:bookmarkEnd w:id="105"/>
      <w:bookmarkEnd w:id="106"/>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proofErr w:type="spellStart"/>
        <w:r w:rsidRPr="00CB134F">
          <w:rPr>
            <w:rStyle w:val="Hyperlink"/>
          </w:rPr>
          <w:t>CybOX</w:t>
        </w:r>
        <w:proofErr w:type="spellEnd"/>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w:t>
      </w:r>
      <w:proofErr w:type="gramStart"/>
      <w:r>
        <w:t>externally-defined</w:t>
      </w:r>
      <w:proofErr w:type="gramEnd"/>
      <w:r>
        <w:t xml:space="preserve"> data models STIX leverages by default (with the exception of </w:t>
      </w:r>
      <w:proofErr w:type="spellStart"/>
      <w:r>
        <w:t>CybOX</w:t>
      </w:r>
      <w:proofErr w:type="spellEnd"/>
      <w:r>
        <w:t xml:space="preserve">,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7" w:name="_Toc421724800"/>
      <w:bookmarkStart w:id="108" w:name="_Toc429676518"/>
      <w:r>
        <w:t>Common Attack Pattern Enumeration and Classification (CAPEC)</w:t>
      </w:r>
      <w:bookmarkEnd w:id="107"/>
      <w:bookmarkEnd w:id="108"/>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proofErr w:type="spellStart"/>
      <w:r>
        <w:rPr>
          <w:rFonts w:ascii="Courier New" w:hAnsi="Courier New" w:cs="Courier New"/>
          <w:szCs w:val="20"/>
        </w:rPr>
        <w:t>At</w:t>
      </w:r>
      <w:r w:rsidRPr="00C62292">
        <w:rPr>
          <w:rFonts w:ascii="Courier New" w:hAnsi="Courier New" w:cs="Courier New"/>
          <w:szCs w:val="20"/>
        </w:rPr>
        <w:t>tackPatternType</w:t>
      </w:r>
      <w:proofErr w:type="spellEnd"/>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09" w:name="_Toc421724801"/>
      <w:bookmarkStart w:id="110" w:name="_Toc429676519"/>
      <w:r>
        <w:t>Common Vulnerability Reporting Framework (CVRF)</w:t>
      </w:r>
      <w:bookmarkEnd w:id="109"/>
      <w:bookmarkEnd w:id="110"/>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proofErr w:type="spellStart"/>
      <w:r w:rsidRPr="00D96006">
        <w:rPr>
          <w:rFonts w:ascii="Courier New" w:hAnsi="Courier New" w:cs="Courier New"/>
        </w:rPr>
        <w:t>VulnerabilityType</w:t>
      </w:r>
      <w:proofErr w:type="spellEnd"/>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1" w:name="_Toc421724802"/>
      <w:bookmarkStart w:id="112" w:name="_Toc429676520"/>
      <w:r>
        <w:t>Customer Information Quality (CIQ)</w:t>
      </w:r>
      <w:bookmarkEnd w:id="111"/>
      <w:bookmarkEnd w:id="112"/>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proofErr w:type="spellStart"/>
      <w:r w:rsidRPr="00F7544B">
        <w:rPr>
          <w:rFonts w:ascii="Courier New" w:hAnsi="Courier New" w:cs="Courier New"/>
        </w:rPr>
        <w:t>AddressAbstractType</w:t>
      </w:r>
      <w:proofErr w:type="spellEnd"/>
      <w:r>
        <w:t xml:space="preserve"> and </w:t>
      </w:r>
      <w:proofErr w:type="spellStart"/>
      <w:r w:rsidRPr="00F7544B">
        <w:rPr>
          <w:rFonts w:ascii="Courier New" w:hAnsi="Courier New" w:cs="Courier New"/>
        </w:rPr>
        <w:t>IdentityType</w:t>
      </w:r>
      <w:proofErr w:type="spellEnd"/>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3" w:name="_Ref404274938"/>
      <w:bookmarkStart w:id="114" w:name="_Toc421724803"/>
      <w:bookmarkStart w:id="115" w:name="_Toc429676521"/>
      <w:r>
        <w:t xml:space="preserve">Cyber Observable </w:t>
      </w:r>
      <w:r w:rsidR="000F7084">
        <w:t xml:space="preserve">Expression </w:t>
      </w:r>
      <w:r>
        <w:t>(</w:t>
      </w:r>
      <w:proofErr w:type="spellStart"/>
      <w:r>
        <w:t>CybOX</w:t>
      </w:r>
      <w:proofErr w:type="spellEnd"/>
      <w:r>
        <w:t>)</w:t>
      </w:r>
      <w:bookmarkEnd w:id="113"/>
      <w:bookmarkEnd w:id="114"/>
      <w:bookmarkEnd w:id="115"/>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w:t>
        </w:r>
        <w:proofErr w:type="spellStart"/>
        <w:r w:rsidR="00CF4AAF">
          <w:rPr>
            <w:rStyle w:val="Hyperlink"/>
          </w:rPr>
          <w:t>CybOX</w:t>
        </w:r>
        <w:proofErr w:type="spellEnd"/>
        <w:r w:rsidR="00CF4AAF">
          <w:rPr>
            <w:rStyle w:val="Hyperlink"/>
          </w:rPr>
          <w:t>) language Version 2.1.1</w:t>
        </w:r>
      </w:hyperlink>
      <w:r>
        <w:t xml:space="preserve"> to describe cyber Observables. The </w:t>
      </w:r>
      <w:proofErr w:type="spellStart"/>
      <w:r>
        <w:t>CybOX</w:t>
      </w:r>
      <w:proofErr w:type="spellEnd"/>
      <w:r>
        <w:t xml:space="preserve">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proofErr w:type="spellStart"/>
        <w:r w:rsidR="0032748D" w:rsidRPr="0032748D">
          <w:rPr>
            <w:rStyle w:val="Hyperlink"/>
          </w:rPr>
          <w:t>CybOX</w:t>
        </w:r>
        <w:proofErr w:type="spellEnd"/>
        <w:r w:rsidR="0032748D" w:rsidRPr="0032748D">
          <w:rPr>
            <w:rStyle w:val="Hyperlink"/>
          </w:rPr>
          <w:t xml:space="preserve"> specification documents</w:t>
        </w:r>
      </w:hyperlink>
      <w:r>
        <w:t xml:space="preserve"> for the definitions of these classes, and in the cases where a STIX class (the subclass) is a specialization of a </w:t>
      </w:r>
      <w:proofErr w:type="spellStart"/>
      <w:r>
        <w:t>CybOX</w:t>
      </w:r>
      <w:proofErr w:type="spellEnd"/>
      <w:r>
        <w:t xml:space="preserve">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6" w:name="_Toc421724804"/>
      <w:bookmarkStart w:id="117" w:name="_Toc429676522"/>
      <w:r>
        <w:t>Malware Attribute Enumeration and Characterization (MAEC)</w:t>
      </w:r>
      <w:bookmarkEnd w:id="116"/>
      <w:bookmarkEnd w:id="117"/>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proofErr w:type="spellStart"/>
      <w:r w:rsidRPr="00E03D49">
        <w:rPr>
          <w:rFonts w:ascii="Courier New" w:hAnsi="Courier New" w:cs="Courier New"/>
        </w:rPr>
        <w:t>MalwareInstanceType</w:t>
      </w:r>
      <w:proofErr w:type="spellEnd"/>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8" w:name="_Toc421724805"/>
      <w:bookmarkStart w:id="119" w:name="_Toc429676523"/>
      <w:r>
        <w:t>Open Indicators of Compromise (</w:t>
      </w:r>
      <w:proofErr w:type="spellStart"/>
      <w:r>
        <w:t>OpenIOC</w:t>
      </w:r>
      <w:proofErr w:type="spellEnd"/>
      <w:r>
        <w:t>)</w:t>
      </w:r>
      <w:bookmarkEnd w:id="118"/>
      <w:bookmarkEnd w:id="119"/>
    </w:p>
    <w:p w14:paraId="47CD9408" w14:textId="40C49CFF" w:rsidR="00236A31" w:rsidRDefault="00236A31" w:rsidP="00236A31">
      <w:pPr>
        <w:spacing w:after="120"/>
      </w:pPr>
      <w:r>
        <w:t>Open Indicators of Compromise (</w:t>
      </w:r>
      <w:proofErr w:type="spellStart"/>
      <w:r>
        <w:t>OpenIOC</w:t>
      </w:r>
      <w:proofErr w:type="spellEnd"/>
      <w:r>
        <w:t>)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w:t>
        </w:r>
        <w:proofErr w:type="spellStart"/>
        <w:r w:rsidR="001C375D" w:rsidRPr="001C375D">
          <w:rPr>
            <w:rStyle w:val="Hyperlink"/>
            <w:b/>
          </w:rPr>
          <w:t>OpenIOC</w:t>
        </w:r>
        <w:proofErr w:type="spellEnd"/>
        <w:r w:rsidR="001C375D" w:rsidRPr="001C375D">
          <w:rPr>
            <w:rStyle w:val="Hyperlink"/>
            <w:b/>
          </w:rPr>
          <w:t>]</w:t>
        </w:r>
      </w:hyperlink>
      <w:r>
        <w:t xml:space="preserve">.  By extending the STIX Indicator </w:t>
      </w:r>
      <w:proofErr w:type="spellStart"/>
      <w:r w:rsidRPr="00301C90">
        <w:rPr>
          <w:rFonts w:ascii="Courier New" w:hAnsi="Courier New" w:cs="Courier New"/>
        </w:rPr>
        <w:t>GenericTestMechanismType</w:t>
      </w:r>
      <w:proofErr w:type="spellEnd"/>
      <w:r>
        <w:t xml:space="preserve"> class, STIX Version 1.2</w:t>
      </w:r>
      <w:r w:rsidR="007F653B">
        <w:t>.1</w:t>
      </w:r>
      <w:r>
        <w:t xml:space="preserve"> enables 2010 </w:t>
      </w:r>
      <w:proofErr w:type="spellStart"/>
      <w:r>
        <w:t>OpenIOC</w:t>
      </w:r>
      <w:proofErr w:type="spellEnd"/>
      <w:r>
        <w:t xml:space="preserve">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0" w:name="_Toc421724806"/>
      <w:bookmarkStart w:id="121" w:name="_Toc429676524"/>
      <w:r>
        <w:t>Open Vulnerability and Assessment Language (OVAL)</w:t>
      </w:r>
      <w:bookmarkEnd w:id="120"/>
      <w:bookmarkEnd w:id="121"/>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proofErr w:type="spellStart"/>
      <w:r w:rsidRPr="00301C90">
        <w:rPr>
          <w:rFonts w:ascii="Courier New" w:hAnsi="Courier New" w:cs="Courier New"/>
        </w:rPr>
        <w:t>GenericTestMechanismType</w:t>
      </w:r>
      <w:proofErr w:type="spellEnd"/>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2" w:name="_Ref428179452"/>
      <w:bookmarkStart w:id="123" w:name="_Toc429676525"/>
      <w:r w:rsidRPr="00FD22AC">
        <w:lastRenderedPageBreak/>
        <w:t>Conformance</w:t>
      </w:r>
      <w:bookmarkEnd w:id="94"/>
      <w:bookmarkEnd w:id="122"/>
      <w:bookmarkEnd w:id="123"/>
    </w:p>
    <w:p w14:paraId="76975003" w14:textId="77777777" w:rsidR="00D87E6D" w:rsidRDefault="00D87E6D" w:rsidP="001B1D1D">
      <w:r>
        <w:t>Implementations have discretion over which parts (components, properties, extensions, controlled vocabularies, etc.) of STIX they implement (e.g., Indicator/</w:t>
      </w:r>
      <w:proofErr w:type="spellStart"/>
      <w:r>
        <w:t>Suggested_COAs</w:t>
      </w:r>
      <w:proofErr w:type="spellEnd"/>
      <w:r>
        <w:t>).</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4" w:name="_Toc85472897"/>
      <w:bookmarkStart w:id="125" w:name="_Toc287332012"/>
      <w:bookmarkStart w:id="126" w:name="_Toc429676526"/>
      <w:r>
        <w:lastRenderedPageBreak/>
        <w:t>Acknowl</w:t>
      </w:r>
      <w:r w:rsidR="004D0E5E">
        <w:t>e</w:t>
      </w:r>
      <w:r w:rsidR="008F61FB">
        <w:t>dg</w:t>
      </w:r>
      <w:r w:rsidR="0052099F">
        <w:t>ments</w:t>
      </w:r>
      <w:bookmarkEnd w:id="124"/>
      <w:bookmarkEnd w:id="125"/>
      <w:bookmarkEnd w:id="126"/>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proofErr w:type="spellStart"/>
      <w:r>
        <w:t>Jyoti</w:t>
      </w:r>
      <w:proofErr w:type="spellEnd"/>
      <w:r>
        <w:t xml:space="preserve"> </w:t>
      </w:r>
      <w:proofErr w:type="spellStart"/>
      <w:r>
        <w:t>Verma</w:t>
      </w:r>
      <w:proofErr w:type="spellEnd"/>
      <w:r>
        <w:t>, Cisco Systems</w:t>
      </w:r>
    </w:p>
    <w:p w14:paraId="41AE9B99" w14:textId="77777777" w:rsidR="00021118" w:rsidRDefault="00021118" w:rsidP="00021118">
      <w:pPr>
        <w:pStyle w:val="Contributor"/>
      </w:pPr>
      <w:proofErr w:type="spellStart"/>
      <w:r>
        <w:t>Liron</w:t>
      </w:r>
      <w:proofErr w:type="spellEnd"/>
      <w:r>
        <w:t xml:space="preserve"> Schiff, </w:t>
      </w:r>
      <w:proofErr w:type="spellStart"/>
      <w:r>
        <w:t>Comilion</w:t>
      </w:r>
      <w:proofErr w:type="spellEnd"/>
      <w:r>
        <w:t xml:space="preserve"> (mobile) Ltd.</w:t>
      </w:r>
    </w:p>
    <w:p w14:paraId="62940AF5" w14:textId="77777777" w:rsidR="00021118" w:rsidRDefault="00021118" w:rsidP="00021118">
      <w:pPr>
        <w:pStyle w:val="Contributor"/>
      </w:pPr>
      <w:r>
        <w:t xml:space="preserve">Jane </w:t>
      </w:r>
      <w:proofErr w:type="spellStart"/>
      <w:r>
        <w:t>Ginn</w:t>
      </w:r>
      <w:proofErr w:type="spellEnd"/>
      <w:r>
        <w:t>, Cyber Threat Intelligence Network, Inc. (CTIN)</w:t>
      </w:r>
    </w:p>
    <w:p w14:paraId="647532B1" w14:textId="77777777" w:rsidR="00021118" w:rsidRDefault="00021118" w:rsidP="00021118">
      <w:pPr>
        <w:pStyle w:val="Contributor"/>
      </w:pPr>
      <w:r>
        <w:t xml:space="preserve">Richard </w:t>
      </w:r>
      <w:proofErr w:type="spellStart"/>
      <w:r>
        <w:t>Struse</w:t>
      </w:r>
      <w:proofErr w:type="spellEnd"/>
      <w:r>
        <w:t xml:space="preserve">, DHS Office of </w:t>
      </w:r>
      <w:proofErr w:type="spellStart"/>
      <w:r>
        <w:t>Cybersecurity</w:t>
      </w:r>
      <w:proofErr w:type="spellEnd"/>
      <w:r>
        <w:t xml:space="preserve"> and Communications (CS&amp;C)</w:t>
      </w:r>
    </w:p>
    <w:p w14:paraId="7F269A65" w14:textId="77777777" w:rsidR="00021118" w:rsidRDefault="00021118" w:rsidP="00021118">
      <w:pPr>
        <w:pStyle w:val="Contributor"/>
      </w:pPr>
      <w:r>
        <w:t xml:space="preserve">Marlon Taylor, DHS Office of </w:t>
      </w:r>
      <w:proofErr w:type="spellStart"/>
      <w:r>
        <w:t>Cybersecurity</w:t>
      </w:r>
      <w:proofErr w:type="spellEnd"/>
      <w:r>
        <w:t xml:space="preserve"> and Communications (CS&amp;C)</w:t>
      </w:r>
    </w:p>
    <w:p w14:paraId="06FE1CB1" w14:textId="77777777" w:rsidR="00021118" w:rsidRDefault="00021118" w:rsidP="00021118">
      <w:pPr>
        <w:pStyle w:val="Contributor"/>
      </w:pPr>
      <w:r>
        <w:t xml:space="preserve">David </w:t>
      </w:r>
      <w:proofErr w:type="spellStart"/>
      <w:r>
        <w:t>Eilken</w:t>
      </w:r>
      <w:proofErr w:type="spellEnd"/>
      <w:r>
        <w:t>,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proofErr w:type="spellStart"/>
      <w:r>
        <w:t>Ryusuke</w:t>
      </w:r>
      <w:proofErr w:type="spellEnd"/>
      <w:r>
        <w:t xml:space="preserve"> </w:t>
      </w:r>
      <w:proofErr w:type="spellStart"/>
      <w:r>
        <w:t>Masuoka</w:t>
      </w:r>
      <w:proofErr w:type="spellEnd"/>
      <w:r>
        <w:t>,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 xml:space="preserve">Jason </w:t>
      </w:r>
      <w:proofErr w:type="spellStart"/>
      <w:r>
        <w:t>Keirstead</w:t>
      </w:r>
      <w:proofErr w:type="spellEnd"/>
      <w:r>
        <w:t>, IBM</w:t>
      </w:r>
    </w:p>
    <w:p w14:paraId="36BF7EA6" w14:textId="77777777" w:rsidR="00021118" w:rsidRDefault="00021118" w:rsidP="00021118">
      <w:pPr>
        <w:pStyle w:val="Contributor"/>
      </w:pPr>
      <w:r>
        <w:t xml:space="preserve">Paul Martini, </w:t>
      </w:r>
      <w:proofErr w:type="spellStart"/>
      <w:r>
        <w:t>iboss</w:t>
      </w:r>
      <w:proofErr w:type="spellEnd"/>
      <w:r>
        <w:t>, Inc.</w:t>
      </w:r>
    </w:p>
    <w:p w14:paraId="6B6A7594" w14:textId="77777777" w:rsidR="00021118" w:rsidRDefault="00021118" w:rsidP="00021118">
      <w:pPr>
        <w:pStyle w:val="Contributor"/>
      </w:pPr>
      <w:r>
        <w:t xml:space="preserve">Jerome </w:t>
      </w:r>
      <w:proofErr w:type="spellStart"/>
      <w:r>
        <w:t>Athias</w:t>
      </w:r>
      <w:proofErr w:type="spellEnd"/>
      <w:r>
        <w:t>,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 xml:space="preserve">Patrick </w:t>
      </w:r>
      <w:proofErr w:type="spellStart"/>
      <w:r>
        <w:t>Maroney</w:t>
      </w:r>
      <w:proofErr w:type="spellEnd"/>
      <w:r>
        <w:t>, Integrated Networking Technologies, Inc.</w:t>
      </w:r>
    </w:p>
    <w:p w14:paraId="02A87AA4" w14:textId="77777777" w:rsidR="00021118" w:rsidRDefault="00021118" w:rsidP="00021118">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475A38C" w14:textId="77777777" w:rsidR="00021118" w:rsidRDefault="00021118" w:rsidP="00021118">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00FEDA9" w14:textId="77777777" w:rsidR="00021118" w:rsidRDefault="00021118" w:rsidP="00021118">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E1D0E8F" w14:textId="77777777" w:rsidR="00021118" w:rsidRDefault="00021118" w:rsidP="00021118">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BC47D8F" w14:textId="77777777" w:rsidR="00021118" w:rsidRDefault="00021118" w:rsidP="00021118">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C11B6EE" w14:textId="77777777" w:rsidR="00021118" w:rsidRDefault="00021118" w:rsidP="00021118">
      <w:pPr>
        <w:pStyle w:val="Contributor"/>
      </w:pPr>
      <w:proofErr w:type="spellStart"/>
      <w:r>
        <w:t>Raymon</w:t>
      </w:r>
      <w:proofErr w:type="spellEnd"/>
      <w:r>
        <w:t xml:space="preserve"> van der </w:t>
      </w:r>
      <w:proofErr w:type="spellStart"/>
      <w:r>
        <w:t>Velde</w:t>
      </w:r>
      <w:proofErr w:type="spellEnd"/>
      <w:r>
        <w:t xml:space="preserve">, </w:t>
      </w:r>
      <w:proofErr w:type="spellStart"/>
      <w:r>
        <w:t>Intelworks</w:t>
      </w:r>
      <w:proofErr w:type="spellEnd"/>
      <w:r>
        <w:t xml:space="preserve">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w:t>
      </w:r>
      <w:proofErr w:type="spellStart"/>
      <w:r>
        <w:t>Kirillov</w:t>
      </w:r>
      <w:proofErr w:type="spellEnd"/>
      <w:r>
        <w:t xml:space="preserve">, </w:t>
      </w:r>
      <w:r w:rsidR="003056CE">
        <w:t>MITRE</w:t>
      </w:r>
      <w:r>
        <w:t xml:space="preserve"> Corporation</w:t>
      </w:r>
    </w:p>
    <w:p w14:paraId="5BA42615" w14:textId="1DF04144" w:rsidR="00021118" w:rsidRDefault="00021118" w:rsidP="00021118">
      <w:pPr>
        <w:pStyle w:val="Contributor"/>
      </w:pPr>
      <w:r>
        <w:t xml:space="preserve">Jon </w:t>
      </w:r>
      <w:proofErr w:type="spellStart"/>
      <w:r>
        <w:t>Salwen</w:t>
      </w:r>
      <w:proofErr w:type="spellEnd"/>
      <w:r>
        <w:t xml:space="preserve">, </w:t>
      </w:r>
      <w:r w:rsidR="003056CE">
        <w:t>MITRE</w:t>
      </w:r>
      <w:r>
        <w:t xml:space="preserve"> Corporation</w:t>
      </w:r>
    </w:p>
    <w:p w14:paraId="4355CC6B" w14:textId="392A2FE4" w:rsidR="00021118" w:rsidRDefault="00021118" w:rsidP="00021118">
      <w:pPr>
        <w:pStyle w:val="Contributor"/>
      </w:pPr>
      <w:r>
        <w:t xml:space="preserve">John </w:t>
      </w:r>
      <w:proofErr w:type="spellStart"/>
      <w:r>
        <w:t>Wunder</w:t>
      </w:r>
      <w:proofErr w:type="spellEnd"/>
      <w:r>
        <w:t xml:space="preserve">,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 xml:space="preserve">Takahiro </w:t>
      </w:r>
      <w:proofErr w:type="spellStart"/>
      <w:r>
        <w:t>Kakumaru</w:t>
      </w:r>
      <w:proofErr w:type="spellEnd"/>
      <w:r>
        <w:t>,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 xml:space="preserve">John Tolbert, </w:t>
      </w:r>
      <w:proofErr w:type="spellStart"/>
      <w:r>
        <w:t>Queralt</w:t>
      </w:r>
      <w:proofErr w:type="spellEnd"/>
      <w:r>
        <w:t>, Inc.</w:t>
      </w:r>
    </w:p>
    <w:p w14:paraId="3B12E130" w14:textId="77777777" w:rsidR="00021118" w:rsidRDefault="00021118" w:rsidP="00021118">
      <w:pPr>
        <w:pStyle w:val="Contributor"/>
      </w:pPr>
      <w:r>
        <w:t xml:space="preserve">Igor </w:t>
      </w:r>
      <w:proofErr w:type="spellStart"/>
      <w:r>
        <w:t>Baikalov</w:t>
      </w:r>
      <w:proofErr w:type="spellEnd"/>
      <w:r>
        <w:t xml:space="preserve">, </w:t>
      </w:r>
      <w:proofErr w:type="spellStart"/>
      <w:r>
        <w:t>Securonix</w:t>
      </w:r>
      <w:proofErr w:type="spellEnd"/>
    </w:p>
    <w:p w14:paraId="5E55B53E" w14:textId="77777777" w:rsidR="00021118" w:rsidRDefault="00021118" w:rsidP="00021118">
      <w:pPr>
        <w:pStyle w:val="Contributor"/>
      </w:pPr>
      <w:r>
        <w:t xml:space="preserve">Bernd </w:t>
      </w:r>
      <w:proofErr w:type="spellStart"/>
      <w:r>
        <w:t>Grobauer</w:t>
      </w:r>
      <w:proofErr w:type="spellEnd"/>
      <w:r>
        <w:t>, Siemens AG</w:t>
      </w:r>
    </w:p>
    <w:p w14:paraId="1916FE51" w14:textId="77777777" w:rsidR="00021118" w:rsidRDefault="00021118" w:rsidP="00021118">
      <w:pPr>
        <w:pStyle w:val="Contributor"/>
      </w:pPr>
      <w:r>
        <w:t xml:space="preserve">Jonathan Bush, </w:t>
      </w:r>
      <w:proofErr w:type="spellStart"/>
      <w:r>
        <w:t>Soltra</w:t>
      </w:r>
      <w:proofErr w:type="spellEnd"/>
    </w:p>
    <w:p w14:paraId="22272765" w14:textId="77777777" w:rsidR="00021118" w:rsidRDefault="00021118" w:rsidP="00021118">
      <w:pPr>
        <w:pStyle w:val="Contributor"/>
      </w:pPr>
      <w:proofErr w:type="spellStart"/>
      <w:r>
        <w:t>Aharon</w:t>
      </w:r>
      <w:proofErr w:type="spellEnd"/>
      <w:r>
        <w:t xml:space="preserve"> </w:t>
      </w:r>
      <w:proofErr w:type="spellStart"/>
      <w:r>
        <w:t>Chernin</w:t>
      </w:r>
      <w:proofErr w:type="spellEnd"/>
      <w:r>
        <w:t xml:space="preserve">, </w:t>
      </w:r>
      <w:proofErr w:type="spellStart"/>
      <w:r>
        <w:t>Soltra</w:t>
      </w:r>
      <w:proofErr w:type="spellEnd"/>
    </w:p>
    <w:p w14:paraId="531F097C" w14:textId="77777777" w:rsidR="00021118" w:rsidRDefault="00021118" w:rsidP="00021118">
      <w:pPr>
        <w:pStyle w:val="Contributor"/>
      </w:pPr>
      <w:r>
        <w:t xml:space="preserve">Trey Darley, </w:t>
      </w:r>
      <w:proofErr w:type="spellStart"/>
      <w:r>
        <w:t>Soltra</w:t>
      </w:r>
      <w:proofErr w:type="spellEnd"/>
    </w:p>
    <w:p w14:paraId="68BBB1F0" w14:textId="77777777" w:rsidR="00021118" w:rsidRDefault="00021118" w:rsidP="00021118">
      <w:pPr>
        <w:pStyle w:val="Contributor"/>
      </w:pPr>
      <w:r>
        <w:t xml:space="preserve">Paul Dion, </w:t>
      </w:r>
      <w:proofErr w:type="spellStart"/>
      <w:r>
        <w:t>Soltra</w:t>
      </w:r>
      <w:proofErr w:type="spellEnd"/>
    </w:p>
    <w:p w14:paraId="03A62081" w14:textId="77777777" w:rsidR="00021118" w:rsidRDefault="00021118" w:rsidP="00021118">
      <w:pPr>
        <w:pStyle w:val="Contributor"/>
      </w:pPr>
      <w:r>
        <w:t xml:space="preserve">Ali Khan, </w:t>
      </w:r>
      <w:proofErr w:type="spellStart"/>
      <w:r>
        <w:t>Soltra</w:t>
      </w:r>
      <w:proofErr w:type="spellEnd"/>
    </w:p>
    <w:p w14:paraId="17399FF3" w14:textId="77777777" w:rsidR="00021118" w:rsidRDefault="00021118" w:rsidP="00021118">
      <w:pPr>
        <w:pStyle w:val="Contributor"/>
      </w:pPr>
      <w:r>
        <w:t xml:space="preserve">Natalie Suarez, </w:t>
      </w:r>
      <w:proofErr w:type="spellStart"/>
      <w:r>
        <w:t>Soltra</w:t>
      </w:r>
      <w:proofErr w:type="spellEnd"/>
    </w:p>
    <w:p w14:paraId="18B9F1C4" w14:textId="77777777" w:rsidR="00021118" w:rsidRDefault="00021118" w:rsidP="00021118">
      <w:pPr>
        <w:pStyle w:val="Contributor"/>
      </w:pPr>
      <w:r>
        <w:t xml:space="preserve">Cedric </w:t>
      </w:r>
      <w:proofErr w:type="spellStart"/>
      <w:r>
        <w:t>LeRoux</w:t>
      </w:r>
      <w:proofErr w:type="spellEnd"/>
      <w:r>
        <w:t xml:space="preserve">, </w:t>
      </w:r>
      <w:proofErr w:type="spellStart"/>
      <w:r>
        <w:t>Splunk</w:t>
      </w:r>
      <w:proofErr w:type="spellEnd"/>
      <w:r>
        <w:t xml:space="preserve"> Inc.</w:t>
      </w:r>
    </w:p>
    <w:p w14:paraId="307CA06E" w14:textId="77777777" w:rsidR="00021118" w:rsidRDefault="00021118" w:rsidP="00021118">
      <w:pPr>
        <w:pStyle w:val="Contributor"/>
      </w:pPr>
      <w:r>
        <w:t xml:space="preserve">Brian Luger, </w:t>
      </w:r>
      <w:proofErr w:type="spellStart"/>
      <w:r>
        <w:t>Splunk</w:t>
      </w:r>
      <w:proofErr w:type="spellEnd"/>
      <w:r>
        <w:t xml:space="preserve">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 xml:space="preserve">Mona </w:t>
      </w:r>
      <w:proofErr w:type="spellStart"/>
      <w:r>
        <w:t>Magathan</w:t>
      </w:r>
      <w:proofErr w:type="spellEnd"/>
      <w:r>
        <w:t>,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 xml:space="preserve">Mike </w:t>
      </w:r>
      <w:proofErr w:type="spellStart"/>
      <w:r>
        <w:t>McLellan</w:t>
      </w:r>
      <w:proofErr w:type="spellEnd"/>
      <w:r>
        <w:t>,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 xml:space="preserve">Anthony </w:t>
      </w:r>
      <w:proofErr w:type="spellStart"/>
      <w:r>
        <w:t>Rutkowski</w:t>
      </w:r>
      <w:proofErr w:type="spellEnd"/>
      <w:r>
        <w:t xml:space="preserve">, </w:t>
      </w:r>
      <w:proofErr w:type="spellStart"/>
      <w:r>
        <w:t>Yaana</w:t>
      </w:r>
      <w:proofErr w:type="spellEnd"/>
      <w:r>
        <w:t xml:space="preserve">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7" w:name="_Toc85472898"/>
      <w:bookmarkStart w:id="128" w:name="_Toc287332014"/>
      <w:bookmarkStart w:id="129" w:name="_Toc429676527"/>
      <w:r>
        <w:lastRenderedPageBreak/>
        <w:t>Revision History</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 xml:space="preserve">Sean Barnum Desiree Beck </w:t>
            </w:r>
            <w:proofErr w:type="spellStart"/>
            <w:r>
              <w:t>Aharon</w:t>
            </w:r>
            <w:proofErr w:type="spellEnd"/>
            <w:r>
              <w:t xml:space="preserve"> </w:t>
            </w:r>
            <w:proofErr w:type="spellStart"/>
            <w:r>
              <w:t>Chernin</w:t>
            </w:r>
            <w:proofErr w:type="spellEnd"/>
            <w:r>
              <w:t xml:space="preserve">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A1770" w14:textId="77777777" w:rsidR="00DF3E63" w:rsidRDefault="00DF3E63" w:rsidP="008C100C">
      <w:r>
        <w:separator/>
      </w:r>
    </w:p>
    <w:p w14:paraId="7FD1E0D3" w14:textId="77777777" w:rsidR="00DF3E63" w:rsidRDefault="00DF3E63" w:rsidP="008C100C"/>
    <w:p w14:paraId="31AB073F" w14:textId="77777777" w:rsidR="00DF3E63" w:rsidRDefault="00DF3E63" w:rsidP="008C100C"/>
    <w:p w14:paraId="0941DAD3" w14:textId="77777777" w:rsidR="00DF3E63" w:rsidRDefault="00DF3E63" w:rsidP="008C100C"/>
    <w:p w14:paraId="3E748973" w14:textId="77777777" w:rsidR="00DF3E63" w:rsidRDefault="00DF3E63" w:rsidP="008C100C"/>
    <w:p w14:paraId="17C9CE7B" w14:textId="77777777" w:rsidR="00DF3E63" w:rsidRDefault="00DF3E63" w:rsidP="008C100C"/>
    <w:p w14:paraId="34030606" w14:textId="77777777" w:rsidR="00DF3E63" w:rsidRDefault="00DF3E63" w:rsidP="008C100C"/>
  </w:endnote>
  <w:endnote w:type="continuationSeparator" w:id="0">
    <w:p w14:paraId="01D92FD8" w14:textId="77777777" w:rsidR="00DF3E63" w:rsidRDefault="00DF3E63" w:rsidP="008C100C">
      <w:r>
        <w:continuationSeparator/>
      </w:r>
    </w:p>
    <w:p w14:paraId="040D1211" w14:textId="77777777" w:rsidR="00DF3E63" w:rsidRDefault="00DF3E63" w:rsidP="008C100C"/>
    <w:p w14:paraId="047ACA2F" w14:textId="77777777" w:rsidR="00DF3E63" w:rsidRDefault="00DF3E63" w:rsidP="008C100C"/>
    <w:p w14:paraId="75AB136D" w14:textId="77777777" w:rsidR="00DF3E63" w:rsidRDefault="00DF3E63" w:rsidP="008C100C"/>
    <w:p w14:paraId="3F152D8B" w14:textId="77777777" w:rsidR="00DF3E63" w:rsidRDefault="00DF3E63" w:rsidP="008C100C"/>
    <w:p w14:paraId="2A81047D" w14:textId="77777777" w:rsidR="00DF3E63" w:rsidRDefault="00DF3E63" w:rsidP="008C100C"/>
    <w:p w14:paraId="329604D4" w14:textId="77777777" w:rsidR="00DF3E63" w:rsidRDefault="00DF3E63" w:rsidP="008C100C"/>
  </w:endnote>
  <w:endnote w:id="1">
    <w:p w14:paraId="005040F9" w14:textId="32247340" w:rsidR="00E3303D" w:rsidRDefault="00E3303D">
      <w:pPr>
        <w:pStyle w:val="EndnoteText"/>
      </w:pPr>
      <w:r>
        <w:rPr>
          <w:rStyle w:val="EndnoteReference"/>
        </w:rPr>
        <w:endnoteRef/>
      </w:r>
      <w:r>
        <w:t xml:space="preserve"> </w:t>
      </w:r>
      <w:r w:rsidRPr="00E47957">
        <w:t xml:space="preserve">The </w:t>
      </w:r>
      <w:proofErr w:type="spellStart"/>
      <w:r w:rsidRPr="00E47957">
        <w:t>CybOX</w:t>
      </w:r>
      <w:proofErr w:type="spellEnd"/>
      <w:r w:rsidRPr="00E47957">
        <w:t xml:space="preserve"> Observable data model is actually defined in the </w:t>
      </w:r>
      <w:proofErr w:type="spellStart"/>
      <w:r w:rsidRPr="00E47957">
        <w:t>CybOX</w:t>
      </w:r>
      <w:proofErr w:type="spellEnd"/>
      <w:r w:rsidRPr="00E47957">
        <w:t xml:space="preserve"> Language,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C1CC4">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C1CC4">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2F570" w14:textId="77777777" w:rsidR="00DF3E63" w:rsidRDefault="00DF3E63" w:rsidP="008C100C">
      <w:r>
        <w:separator/>
      </w:r>
    </w:p>
    <w:p w14:paraId="09CE9BF6" w14:textId="77777777" w:rsidR="00DF3E63" w:rsidRDefault="00DF3E63" w:rsidP="008C100C"/>
  </w:footnote>
  <w:footnote w:type="continuationSeparator" w:id="0">
    <w:p w14:paraId="3ABED5EA" w14:textId="77777777" w:rsidR="00DF3E63" w:rsidRDefault="00DF3E63" w:rsidP="008C100C">
      <w:r>
        <w:continuationSeparator/>
      </w:r>
    </w:p>
    <w:p w14:paraId="462140C2" w14:textId="77777777" w:rsidR="00DF3E63" w:rsidRDefault="00DF3E63"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7011C2"/>
    <w:lvl w:ilvl="0">
      <w:start w:val="1"/>
      <w:numFmt w:val="decimal"/>
      <w:lvlText w:val="%1."/>
      <w:lvlJc w:val="left"/>
      <w:pPr>
        <w:tabs>
          <w:tab w:val="num" w:pos="1800"/>
        </w:tabs>
        <w:ind w:left="1800" w:hanging="360"/>
      </w:pPr>
    </w:lvl>
  </w:abstractNum>
  <w:abstractNum w:abstractNumId="2">
    <w:nsid w:val="FFFFFF7D"/>
    <w:multiLevelType w:val="singleLevel"/>
    <w:tmpl w:val="A50A0192"/>
    <w:lvl w:ilvl="0">
      <w:start w:val="1"/>
      <w:numFmt w:val="decimal"/>
      <w:lvlText w:val="%1."/>
      <w:lvlJc w:val="left"/>
      <w:pPr>
        <w:tabs>
          <w:tab w:val="num" w:pos="1440"/>
        </w:tabs>
        <w:ind w:left="1440" w:hanging="360"/>
      </w:pPr>
    </w:lvl>
  </w:abstractNum>
  <w:abstractNum w:abstractNumId="3">
    <w:nsid w:val="FFFFFF7E"/>
    <w:multiLevelType w:val="singleLevel"/>
    <w:tmpl w:val="57CA30D4"/>
    <w:lvl w:ilvl="0">
      <w:start w:val="1"/>
      <w:numFmt w:val="decimal"/>
      <w:lvlText w:val="%1."/>
      <w:lvlJc w:val="left"/>
      <w:pPr>
        <w:tabs>
          <w:tab w:val="num" w:pos="1080"/>
        </w:tabs>
        <w:ind w:left="1080" w:hanging="360"/>
      </w:pPr>
    </w:lvl>
  </w:abstractNum>
  <w:abstractNum w:abstractNumId="4">
    <w:nsid w:val="FFFFFF7F"/>
    <w:multiLevelType w:val="singleLevel"/>
    <w:tmpl w:val="AB2087B0"/>
    <w:lvl w:ilvl="0">
      <w:start w:val="1"/>
      <w:numFmt w:val="decimal"/>
      <w:lvlText w:val="%1."/>
      <w:lvlJc w:val="left"/>
      <w:pPr>
        <w:tabs>
          <w:tab w:val="num" w:pos="720"/>
        </w:tabs>
        <w:ind w:left="720" w:hanging="360"/>
      </w:pPr>
    </w:lvl>
  </w:abstractNum>
  <w:abstractNum w:abstractNumId="5">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nsid w:val="FFFFFF88"/>
    <w:multiLevelType w:val="singleLevel"/>
    <w:tmpl w:val="CDEA1D04"/>
    <w:lvl w:ilvl="0">
      <w:start w:val="1"/>
      <w:numFmt w:val="decimal"/>
      <w:lvlText w:val="%1."/>
      <w:lvlJc w:val="left"/>
      <w:pPr>
        <w:tabs>
          <w:tab w:val="num" w:pos="360"/>
        </w:tabs>
        <w:ind w:left="360" w:hanging="360"/>
      </w:pPr>
    </w:lvl>
  </w:abstractNum>
  <w:abstractNum w:abstractNumId="1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87964"/>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02D1"/>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032"/>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815D7"/>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C1CC4"/>
    <w:rsid w:val="00DD4FDA"/>
    <w:rsid w:val="00DD73AA"/>
    <w:rsid w:val="00DE14D4"/>
    <w:rsid w:val="00DE46EE"/>
    <w:rsid w:val="00DE6F0E"/>
    <w:rsid w:val="00DF1F29"/>
    <w:rsid w:val="00DF3E63"/>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0A78"/>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6F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50" Type="http://schemas.openxmlformats.org/officeDocument/2006/relationships/hyperlink" Target="http://www.ietf.org/rfc/rfc5646.txt" TargetMode="External"/><Relationship Id="rId51" Type="http://schemas.openxmlformats.org/officeDocument/2006/relationships/hyperlink" Target="http://www.w3.org/TR/REC-xml-names" TargetMode="External"/><Relationship Id="rId52" Type="http://schemas.openxmlformats.org/officeDocument/2006/relationships/hyperlink" Target="http://www.w3.org/TR/xmlschema-2" TargetMode="External"/><Relationship Id="rId53" Type="http://schemas.openxmlformats.org/officeDocument/2006/relationships/hyperlink" Target="http://stixproject.github.io/" TargetMode="External"/><Relationship Id="rId54" Type="http://schemas.openxmlformats.org/officeDocument/2006/relationships/hyperlink" Target="http://stixproject.github.io/about/Characterizing_Malware_MAEC_and_STIX_v1.0.pdf" TargetMode="External"/><Relationship Id="rId55" Type="http://schemas.openxmlformats.org/officeDocument/2006/relationships/hyperlink" Target="http://stixproject.github.io/getting-started/whitepaper/" TargetMode="External"/><Relationship Id="rId56" Type="http://schemas.openxmlformats.org/officeDocument/2006/relationships/hyperlink" Target="http://www.omg.org/spec/UML/2.4.1/" TargetMode="External"/><Relationship Id="rId57" Type="http://schemas.openxmlformats.org/officeDocument/2006/relationships/image" Target="media/image9.jpg"/><Relationship Id="rId58" Type="http://schemas.openxmlformats.org/officeDocument/2006/relationships/image" Target="media/image10.jpeg"/><Relationship Id="rId59" Type="http://schemas.openxmlformats.org/officeDocument/2006/relationships/hyperlink" Target="http://stixproject.github.io/data-model/1.1.1/campaign/CampaignType" TargetMode="External"/><Relationship Id="rId40" Type="http://schemas.openxmlformats.org/officeDocument/2006/relationships/hyperlink" Target="http://cpe.mitre.org" TargetMode="External"/><Relationship Id="rId41" Type="http://schemas.openxmlformats.org/officeDocument/2006/relationships/hyperlink" Target="http://cve.mitre.org" TargetMode="External"/><Relationship Id="rId42" Type="http://schemas.openxmlformats.org/officeDocument/2006/relationships/hyperlink" Target="http://www.icasi.org/cvrf/" TargetMode="External"/><Relationship Id="rId43" Type="http://schemas.openxmlformats.org/officeDocument/2006/relationships/hyperlink" Target="http://cwe.mitre.org" TargetMode="External"/><Relationship Id="rId44" Type="http://schemas.openxmlformats.org/officeDocument/2006/relationships/hyperlink" Target="http://www.iso.org/iso/home/standards/iso8601.htm" TargetMode="External"/><Relationship Id="rId45" Type="http://schemas.openxmlformats.org/officeDocument/2006/relationships/hyperlink" Target="http://maec.mitre.org" TargetMode="External"/><Relationship Id="rId46" Type="http://schemas.openxmlformats.org/officeDocument/2006/relationships/hyperlink" Target="http://openioc.org/" TargetMode="External"/><Relationship Id="rId47" Type="http://schemas.openxmlformats.org/officeDocument/2006/relationships/hyperlink" Target="http://oval.mitre.org" TargetMode="External"/><Relationship Id="rId48" Type="http://schemas.openxmlformats.org/officeDocument/2006/relationships/hyperlink" Target="http://www.ietf.org/rfc/rfc2119.txt" TargetMode="External"/><Relationship Id="rId49" Type="http://schemas.openxmlformats.org/officeDocument/2006/relationships/hyperlink" Target="https://www.ietf.org/rfc/rfc3986.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oasis-open.org/committees/cti/" TargetMode="External"/><Relationship Id="rId30" Type="http://schemas.openxmlformats.org/officeDocument/2006/relationships/image" Target="media/image5.png"/><Relationship Id="rId31" Type="http://schemas.openxmlformats.org/officeDocument/2006/relationships/oleObject" Target="embeddings/oleObject2.bin"/><Relationship Id="rId32" Type="http://schemas.openxmlformats.org/officeDocument/2006/relationships/image" Target="media/image6.png"/><Relationship Id="rId33" Type="http://schemas.openxmlformats.org/officeDocument/2006/relationships/oleObject" Target="embeddings/oleObject3.bin"/><Relationship Id="rId34" Type="http://schemas.openxmlformats.org/officeDocument/2006/relationships/image" Target="media/image7.png"/><Relationship Id="rId35" Type="http://schemas.openxmlformats.org/officeDocument/2006/relationships/oleObject" Target="embeddings/oleObject4.bin"/><Relationship Id="rId36" Type="http://schemas.openxmlformats.org/officeDocument/2006/relationships/image" Target="media/image8.png"/><Relationship Id="rId37" Type="http://schemas.openxmlformats.org/officeDocument/2006/relationships/hyperlink" Target="http://capec.mitre.org/" TargetMode="External"/><Relationship Id="rId38" Type="http://schemas.openxmlformats.org/officeDocument/2006/relationships/hyperlink" Target="http://cee.mitre.org" TargetMode="External"/><Relationship Id="rId39" Type="http://schemas.openxmlformats.org/officeDocument/2006/relationships/hyperlink" Target="http://docs.oasis-open.org/ciq/v3.0/specs/ciq-specs-v3.html"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image" Target="media/image1.JP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oleObject" Target="embeddings/oleObject1.bin"/><Relationship Id="rId29" Type="http://schemas.openxmlformats.org/officeDocument/2006/relationships/image" Target="media/image4.png"/><Relationship Id="rId60" Type="http://schemas.openxmlformats.org/officeDocument/2006/relationships/hyperlink" Target="http://stixproject.github.io/data-model/1.1.1/coa/CourseOfActionType" TargetMode="Externa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389A3-8A43-D14D-966F-8E05C9775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385</TotalTime>
  <Pages>25</Pages>
  <Words>7780</Words>
  <Characters>44352</Characters>
  <Application>Microsoft Macintosh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52028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Barnum, Sean D.</cp:lastModifiedBy>
  <cp:revision>50</cp:revision>
  <cp:lastPrinted>2011-08-05T16:21:00Z</cp:lastPrinted>
  <dcterms:created xsi:type="dcterms:W3CDTF">2015-08-24T21:14:00Z</dcterms:created>
  <dcterms:modified xsi:type="dcterms:W3CDTF">2015-09-12T17:53:00Z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