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77777777" w:rsidR="00C71349" w:rsidRPr="00CE06CB" w:rsidRDefault="00E83ACA" w:rsidP="008C100C">
      <w:pPr>
        <w:pStyle w:val="Title"/>
        <w:rPr>
          <w:sz w:val="28"/>
          <w:szCs w:val="28"/>
        </w:rPr>
      </w:pPr>
      <w:r w:rsidRPr="00E83ACA">
        <w:rPr>
          <w:sz w:val="28"/>
          <w:szCs w:val="28"/>
        </w:rPr>
        <w:t>STIX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CF6642"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6D47B1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77777777" w:rsidR="00755A38" w:rsidRDefault="00755A38" w:rsidP="00755A38">
      <w:pPr>
        <w:pStyle w:val="RelatedWork"/>
      </w:pPr>
      <w:r w:rsidRPr="00755A38">
        <w:rPr>
          <w:i/>
        </w:rPr>
        <w:t>STIX Version 1.2.1 Part 3: Core</w:t>
      </w:r>
      <w:r w:rsidR="00E62DFD">
        <w:t xml:space="preserve">. </w:t>
      </w:r>
      <w:r w:rsidR="00D20183">
        <w:t>[URI]</w:t>
      </w:r>
    </w:p>
    <w:p w14:paraId="66D22A20"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7A70A62" w14:textId="77777777" w:rsidR="00F94051" w:rsidRDefault="00F94051" w:rsidP="00F94051">
      <w:pPr>
        <w:pStyle w:val="RelatedWork"/>
      </w:pPr>
      <w:r w:rsidRPr="00F94051">
        <w:rPr>
          <w:i/>
        </w:rPr>
        <w:t>STIX Version 1.2.1 Part 5: TTP</w:t>
      </w:r>
      <w:r>
        <w:t xml:space="preserve">. </w:t>
      </w:r>
      <w:r w:rsidR="002813EC">
        <w:t>[URI]</w:t>
      </w:r>
    </w:p>
    <w:p w14:paraId="4E4615A3" w14:textId="77777777" w:rsidR="00F94051" w:rsidRDefault="00F94051" w:rsidP="00F94051">
      <w:pPr>
        <w:pStyle w:val="RelatedWork"/>
      </w:pPr>
      <w:r w:rsidRPr="00F94051">
        <w:rPr>
          <w:i/>
        </w:rPr>
        <w:t>STIX Version 1.2.1 Part 6: Incident</w:t>
      </w:r>
      <w:r>
        <w:t xml:space="preserve">. </w:t>
      </w:r>
      <w:r w:rsidR="00E35706">
        <w:t>[URI]</w:t>
      </w:r>
    </w:p>
    <w:p w14:paraId="71B8E55B" w14:textId="77777777" w:rsidR="00F94051" w:rsidRDefault="00F94051" w:rsidP="00F94051">
      <w:pPr>
        <w:pStyle w:val="RelatedWork"/>
      </w:pPr>
      <w:r w:rsidRPr="00F94051">
        <w:rPr>
          <w:i/>
        </w:rPr>
        <w:t>STIX Version 1.2.1 Part 7: Threat Actor</w:t>
      </w:r>
      <w:r>
        <w:t xml:space="preserve">. </w:t>
      </w:r>
      <w:r w:rsidR="00266B32">
        <w:t>[URI]</w:t>
      </w:r>
    </w:p>
    <w:p w14:paraId="5D43B769" w14:textId="77777777" w:rsidR="00F94051" w:rsidRDefault="00F94051" w:rsidP="00F94051">
      <w:pPr>
        <w:pStyle w:val="RelatedWork"/>
      </w:pPr>
      <w:r w:rsidRPr="00F94051">
        <w:rPr>
          <w:i/>
        </w:rPr>
        <w:t>STIX Version 1.2.1 Part 8: Campaign</w:t>
      </w:r>
      <w:r>
        <w:t xml:space="preserve">. </w:t>
      </w:r>
      <w:r w:rsidR="00E10EA9">
        <w:t>[URI]</w:t>
      </w:r>
    </w:p>
    <w:p w14:paraId="09E031F5" w14:textId="77777777" w:rsidR="00F94051" w:rsidRDefault="00F94051" w:rsidP="00F94051">
      <w:pPr>
        <w:pStyle w:val="RelatedWork"/>
      </w:pPr>
      <w:r w:rsidRPr="00F94051">
        <w:rPr>
          <w:i/>
        </w:rPr>
        <w:t>STIX Version 1.2.1 Part 9: Course of Action</w:t>
      </w:r>
      <w:r>
        <w:t xml:space="preserve">. </w:t>
      </w:r>
      <w:r w:rsidR="00E07E12">
        <w:t>[URI]</w:t>
      </w:r>
    </w:p>
    <w:p w14:paraId="78E92C50" w14:textId="77777777" w:rsidR="00F94051" w:rsidRDefault="00F94051" w:rsidP="00F94051">
      <w:pPr>
        <w:pStyle w:val="RelatedWork"/>
      </w:pPr>
      <w:r w:rsidRPr="00F94051">
        <w:rPr>
          <w:i/>
        </w:rPr>
        <w:t>STIX Version 1.2.1 Part 10: Exploit Target</w:t>
      </w:r>
      <w:r>
        <w:t xml:space="preserve">. </w:t>
      </w:r>
      <w:r w:rsidR="00E83ACA">
        <w:t>[URI]</w:t>
      </w:r>
    </w:p>
    <w:p w14:paraId="2455EEA1" w14:textId="77777777" w:rsidR="00F94051" w:rsidRDefault="00F94051" w:rsidP="00F94051">
      <w:pPr>
        <w:pStyle w:val="RelatedWork"/>
      </w:pPr>
      <w:r w:rsidRPr="00F94051">
        <w:rPr>
          <w:i/>
        </w:rPr>
        <w:t>STIX Version 1.2.1 Part 11: Report</w:t>
      </w:r>
      <w:r>
        <w:t xml:space="preserve">. </w:t>
      </w:r>
      <w:r w:rsidR="00E83ACA">
        <w:t>(this document)</w:t>
      </w:r>
    </w:p>
    <w:p w14:paraId="0FB049D1" w14:textId="77777777"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14:paraId="790C9AA8" w14:textId="77777777" w:rsidR="00F94051" w:rsidRDefault="00F94051" w:rsidP="00F94051">
      <w:pPr>
        <w:pStyle w:val="RelatedWork"/>
      </w:pPr>
      <w:r w:rsidRPr="00F94051">
        <w:rPr>
          <w:i/>
        </w:rPr>
        <w:t>STIX Version 1.2.1 Part 13: Data Marking</w:t>
      </w:r>
      <w:r>
        <w:t>. [URI]</w:t>
      </w:r>
    </w:p>
    <w:p w14:paraId="73962706" w14:textId="77777777" w:rsidR="00F94051" w:rsidRDefault="00F94051" w:rsidP="00F94051">
      <w:pPr>
        <w:pStyle w:val="RelatedWork"/>
      </w:pPr>
      <w:r w:rsidRPr="00F94051">
        <w:rPr>
          <w:i/>
        </w:rPr>
        <w:t>STIX Version 1.2.1 Part 14: Vocabularies</w:t>
      </w:r>
      <w:r>
        <w:t>. [URI]</w:t>
      </w:r>
    </w:p>
    <w:p w14:paraId="62640518" w14:textId="77777777" w:rsidR="00E62DFD" w:rsidRDefault="00F94051" w:rsidP="00F94051">
      <w:pPr>
        <w:pStyle w:val="RelatedWork"/>
      </w:pPr>
      <w:r w:rsidRPr="00F94051">
        <w:rPr>
          <w:i/>
        </w:rPr>
        <w:t>STIX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77777777" w:rsidR="008F61FB" w:rsidRDefault="008E2049" w:rsidP="008E2049">
      <w:pPr>
        <w:pStyle w:val="RelatedWork"/>
      </w:pPr>
      <w:r w:rsidRPr="000F341C">
        <w:rPr>
          <w:i/>
        </w:rPr>
        <w:t xml:space="preserve">CybOX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w:t>
      </w:r>
      <w:bookmarkStart w:id="3" w:name="_GoBack"/>
      <w:r w:rsidRPr="007613C3">
        <w:rPr>
          <w:iCs/>
        </w:rPr>
        <w:t>Structured</w:t>
      </w:r>
      <w:bookmarkEnd w:id="3"/>
      <w:r w:rsidRPr="007613C3">
        <w:rPr>
          <w:iCs/>
        </w:rPr>
        <w:t xml:space="preserve">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9A70BBD" w14:textId="77777777" w:rsidR="001847BD" w:rsidRPr="00852E10" w:rsidRDefault="001847BD" w:rsidP="001847BD">
      <w:pPr>
        <w:pStyle w:val="Notices"/>
      </w:pPr>
      <w:r>
        <w:lastRenderedPageBreak/>
        <w:t>Table of Contents</w:t>
      </w:r>
    </w:p>
    <w:p w14:paraId="287A201D" w14:textId="77777777"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702EB2D4"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4A8F54FE"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77BC765A"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1551FC"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0F6EA9F"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6B938078" w14:textId="77777777" w:rsidR="00917A90" w:rsidRDefault="00CF6642">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B469F7" w14:textId="77777777" w:rsidR="00917A90" w:rsidRDefault="00CF6642">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6851F1A2" w14:textId="77777777" w:rsidR="00917A90" w:rsidRDefault="00CF6642">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2AAFC9F1"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34E2E038"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14:paraId="7EC08A9F"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3B930480"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12207D64" w14:textId="77777777" w:rsidR="00917A90" w:rsidRDefault="00CF6642">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3772579"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CE532A8"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4FD50423"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A0C99E4"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0789E3E"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7E5B5EE7"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254AE78"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55B5F075"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FD6A18E"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28009164" w14:textId="77777777" w:rsidR="00917A90" w:rsidRDefault="00CF6642">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14:paraId="38D663C6"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13BE707C"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0BEDF874" w14:textId="77777777" w:rsidR="00917A90" w:rsidRDefault="00CF6642">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43611E7B"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7FDB3231"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14:paraId="17217604"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79B946CD"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53DE0E06"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14:paraId="08CCD739"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35694D6C" w14:textId="77777777" w:rsidR="00917A90" w:rsidRDefault="00CF6642">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23CBE60D" w14:textId="77777777" w:rsidR="00917A90" w:rsidRDefault="00CF6642">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14:paraId="604554F1" w14:textId="77777777" w:rsidR="00917A90" w:rsidRDefault="00CF6642">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14:paraId="5ED881AF" w14:textId="77777777" w:rsidR="00917A90" w:rsidRDefault="00CF6642">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49441596" w14:textId="77777777" w:rsidR="00C71349" w:rsidRPr="00C52EFC" w:rsidRDefault="00177DED" w:rsidP="0076113A">
      <w:pPr>
        <w:pStyle w:val="Heading1"/>
      </w:pPr>
      <w:bookmarkStart w:id="5" w:name="_Toc429574554"/>
      <w:r>
        <w:lastRenderedPageBreak/>
        <w:t>Introduction</w:t>
      </w:r>
      <w:bookmarkEnd w:id="0"/>
      <w:bookmarkEnd w:id="4"/>
      <w:bookmarkEnd w:id="5"/>
    </w:p>
    <w:p w14:paraId="53FCF255" w14:textId="77777777" w:rsidR="00866130" w:rsidRDefault="00EE3C80" w:rsidP="008C100C">
      <w:r w:rsidRPr="00EE3C80">
        <w:t>[All text is norm</w:t>
      </w:r>
      <w:r>
        <w:t>ative unless otherwise labeled]</w:t>
      </w:r>
    </w:p>
    <w:p w14:paraId="29E994BA" w14:textId="77777777"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77777777"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Toc429574555"/>
      <w:bookmarkStart w:id="9" w:name="_Ref394437867"/>
      <w:r w:rsidRPr="00055956">
        <w:t>STIX Specification Documents</w:t>
      </w:r>
      <w:bookmarkEnd w:id="6"/>
      <w:bookmarkEnd w:id="7"/>
      <w:bookmarkEnd w:id="8"/>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7777777"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14:paraId="4287CCBA"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77777777" w:rsidR="00866130" w:rsidRDefault="00866130" w:rsidP="00485C45">
      <w:pPr>
        <w:pStyle w:val="Caption"/>
        <w:rPr>
          <w:b/>
        </w:rPr>
      </w:pPr>
      <w:bookmarkStart w:id="10" w:name="_Ref418508170"/>
      <w:bookmarkStart w:id="11" w:name="_Ref390077491"/>
      <w:r w:rsidRPr="00055956">
        <w:t xml:space="preserve">Figure </w:t>
      </w:r>
      <w:r w:rsidR="00CF6642">
        <w:fldChar w:fldCharType="begin"/>
      </w:r>
      <w:r w:rsidR="00CF6642">
        <w:instrText xml:space="preserve"> STYLEREF 1 \s </w:instrText>
      </w:r>
      <w:r w:rsidR="00CF6642">
        <w:fldChar w:fldCharType="separate"/>
      </w:r>
      <w:r w:rsidR="00151045">
        <w:rPr>
          <w:noProof/>
        </w:rPr>
        <w:t>1</w:t>
      </w:r>
      <w:r w:rsidR="00CF6642">
        <w:rPr>
          <w:noProof/>
        </w:rPr>
        <w:fldChar w:fldCharType="end"/>
      </w:r>
      <w:r w:rsidRPr="00055956">
        <w:noBreakHyphen/>
      </w:r>
      <w:r w:rsidR="00CF6642">
        <w:fldChar w:fldCharType="begin"/>
      </w:r>
      <w:r w:rsidR="00CF6642">
        <w:instrText xml:space="preserve"> SEQ Figure \* ARABIC \s 1 </w:instrText>
      </w:r>
      <w:r w:rsidR="00CF6642">
        <w:fldChar w:fldCharType="separate"/>
      </w:r>
      <w:r w:rsidR="00151045">
        <w:rPr>
          <w:noProof/>
        </w:rPr>
        <w:t>1</w:t>
      </w:r>
      <w:r w:rsidR="00CF6642">
        <w:rPr>
          <w:noProof/>
        </w:rPr>
        <w:fldChar w:fldCharType="end"/>
      </w:r>
      <w:bookmarkEnd w:id="10"/>
      <w:r w:rsidRPr="00055956">
        <w:t>. STIX Language v1.</w:t>
      </w:r>
      <w:r>
        <w:t>2</w:t>
      </w:r>
      <w:r w:rsidR="000C73CF">
        <w:t>.1</w:t>
      </w:r>
      <w:r w:rsidRPr="00055956">
        <w:t xml:space="preserve"> specification documents</w:t>
      </w:r>
      <w:bookmarkEnd w:id="11"/>
    </w:p>
    <w:p w14:paraId="7ED3AE36" w14:textId="77777777"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74556"/>
      <w:r w:rsidRPr="00055956">
        <w:lastRenderedPageBreak/>
        <w:t>Document Conventions</w:t>
      </w:r>
      <w:bookmarkEnd w:id="9"/>
      <w:bookmarkEnd w:id="12"/>
      <w:bookmarkEnd w:id="13"/>
      <w:bookmarkEnd w:id="14"/>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74557"/>
      <w:r w:rsidRPr="00055956">
        <w:t>Fonts</w:t>
      </w:r>
      <w:bookmarkEnd w:id="15"/>
      <w:bookmarkEnd w:id="16"/>
      <w:bookmarkEnd w:id="17"/>
      <w:bookmarkEnd w:id="18"/>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14:paraId="36E25C5D" w14:textId="77777777"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14:paraId="514765CE" w14:textId="77777777"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5" w:name="_Ref397637630"/>
      <w:bookmarkStart w:id="36" w:name="_Ref418508342"/>
      <w:bookmarkEnd w:id="35"/>
      <w:r w:rsidRPr="00055956">
        <w:t xml:space="preserve">Table </w:t>
      </w:r>
      <w:r w:rsidR="00CF6642">
        <w:fldChar w:fldCharType="begin"/>
      </w:r>
      <w:r w:rsidR="00CF6642">
        <w:instrText xml:space="preserve"> STYLEREF 1 \s </w:instrText>
      </w:r>
      <w:r w:rsidR="00CF6642">
        <w:fldChar w:fldCharType="separate"/>
      </w:r>
      <w:r w:rsidR="00151045">
        <w:rPr>
          <w:noProof/>
        </w:rPr>
        <w:t>1</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1</w:t>
      </w:r>
      <w:r w:rsidR="00CF6642">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1" w:name="_Ref418508211"/>
      <w:r w:rsidRPr="00055956">
        <w:t xml:space="preserve">Figure </w:t>
      </w:r>
      <w:r w:rsidR="00CF6642">
        <w:fldChar w:fldCharType="begin"/>
      </w:r>
      <w:r w:rsidR="00CF6642">
        <w:instrText xml:space="preserve"> STYLEREF 1 \s </w:instrText>
      </w:r>
      <w:r w:rsidR="00CF6642">
        <w:fldChar w:fldCharType="separate"/>
      </w:r>
      <w:r w:rsidR="00151045">
        <w:rPr>
          <w:noProof/>
        </w:rPr>
        <w:t>1</w:t>
      </w:r>
      <w:r w:rsidR="00CF6642">
        <w:rPr>
          <w:noProof/>
        </w:rPr>
        <w:fldChar w:fldCharType="end"/>
      </w:r>
      <w:r w:rsidRPr="00055956">
        <w:noBreakHyphen/>
      </w:r>
      <w:r w:rsidR="00CF6642">
        <w:fldChar w:fldCharType="begin"/>
      </w:r>
      <w:r w:rsidR="00CF6642">
        <w:instrText xml:space="preserve"> SEQ Figure \* ARABIC \s 1 </w:instrText>
      </w:r>
      <w:r w:rsidR="00CF6642">
        <w:fldChar w:fldCharType="separate"/>
      </w:r>
      <w:r w:rsidR="00151045">
        <w:rPr>
          <w:noProof/>
        </w:rPr>
        <w:t>2</w:t>
      </w:r>
      <w:r w:rsidR="00CF6642">
        <w:rPr>
          <w:noProof/>
        </w:rPr>
        <w:fldChar w:fldCharType="end"/>
      </w:r>
      <w:bookmarkEnd w:id="41"/>
      <w:r w:rsidRPr="00055956">
        <w:t>. Data model color coding</w:t>
      </w:r>
    </w:p>
    <w:p w14:paraId="5CA8C700" w14:textId="77777777"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14:paraId="51E7212B" w14:textId="77777777"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1448AE61"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r w:rsidR="008C4724" w:rsidRPr="00055956">
              <w:t>identifying</w:t>
            </w:r>
            <w:r w:rsidRPr="00055956">
              <w:t xml:space="preserve">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14:paraId="75B9CF9E" w14:textId="77777777"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60" w:name="_Ref428698690"/>
      <w:bookmarkStart w:id="61" w:name="_Toc429574567"/>
      <w:r>
        <w:lastRenderedPageBreak/>
        <w:t>Background</w:t>
      </w:r>
      <w:bookmarkEnd w:id="60"/>
      <w:bookmarkEnd w:id="61"/>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3" w:name="_Ref417294800"/>
      <w:r w:rsidRPr="00055956">
        <w:t xml:space="preserve">Figure </w:t>
      </w:r>
      <w:r w:rsidR="00CF6642">
        <w:fldChar w:fldCharType="begin"/>
      </w:r>
      <w:r w:rsidR="00CF6642">
        <w:instrText xml:space="preserve"> STYLEREF 1 \s </w:instrText>
      </w:r>
      <w:r w:rsidR="00CF6642">
        <w:fldChar w:fldCharType="separate"/>
      </w:r>
      <w:r w:rsidR="00151045">
        <w:rPr>
          <w:noProof/>
        </w:rPr>
        <w:t>2</w:t>
      </w:r>
      <w:r w:rsidR="00CF6642">
        <w:rPr>
          <w:noProof/>
        </w:rPr>
        <w:fldChar w:fldCharType="end"/>
      </w:r>
      <w:r w:rsidRPr="00055956">
        <w:noBreakHyphen/>
      </w:r>
      <w:r w:rsidR="00CF6642">
        <w:fldChar w:fldCharType="begin"/>
      </w:r>
      <w:r w:rsidR="00CF6642">
        <w:instrText xml:space="preserve"> SEQ Figure \* ARABIC \s 1 </w:instrText>
      </w:r>
      <w:r w:rsidR="00CF6642">
        <w:fldChar w:fldCharType="separate"/>
      </w:r>
      <w:r w:rsidR="00151045">
        <w:rPr>
          <w:noProof/>
        </w:rPr>
        <w:t>1</w:t>
      </w:r>
      <w:r w:rsidR="00CF6642">
        <w:rPr>
          <w:noProof/>
        </w:rPr>
        <w:fldChar w:fldCharType="end"/>
      </w:r>
      <w:bookmarkEnd w:id="63"/>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14:paraId="63F2C20E" w14:textId="77777777"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14:paraId="1BE5292A" w14:textId="7777777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14:paraId="7170E3E5" w14:textId="77777777"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14:paraId="4671E91D" w14:textId="77777777"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14:paraId="3B7DC398" w14:textId="77777777"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14:paraId="4A87E10C" w14:textId="77777777"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14:paraId="500B5661" w14:textId="77777777"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1" w:name="_Ref428698702"/>
      <w:bookmarkStart w:id="102" w:name="_Toc287332011"/>
    </w:p>
    <w:p w14:paraId="69A2C533" w14:textId="77777777"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6B72D0C1"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xml:space="preserve">.  Details are not provided for classes defined in non-Report data models; instead, the reader is </w:t>
      </w:r>
      <w:r w:rsidR="008C4724" w:rsidRPr="00055956">
        <w:t>referred</w:t>
      </w:r>
      <w:r w:rsidRPr="00055956">
        <w:t xml:space="preserve"> to the corresponding data model specification as indicated by the package prefix specified in the Type column of the table.</w:t>
      </w:r>
    </w:p>
    <w:p w14:paraId="7E6473D9" w14:textId="25A0A0E3" w:rsidR="00866130" w:rsidRPr="00055956" w:rsidRDefault="007E4E31" w:rsidP="00866130">
      <w:pPr>
        <w:spacing w:after="240"/>
      </w:pPr>
      <w:ins w:id="107" w:author="Piazza, Rich" w:date="2015-12-01T09:53:00Z">
        <w:r w:rsidRPr="007E4E31">
          <w:rPr>
            <w:noProof/>
          </w:rPr>
          <w:lastRenderedPageBreak/>
          <w:drawing>
            <wp:inline distT="0" distB="0" distL="0" distR="0" wp14:anchorId="170B43B1" wp14:editId="26309AAB">
              <wp:extent cx="8537575"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37575" cy="5943600"/>
                      </a:xfrm>
                      <a:prstGeom prst="rect">
                        <a:avLst/>
                      </a:prstGeom>
                    </pic:spPr>
                  </pic:pic>
                </a:graphicData>
              </a:graphic>
            </wp:inline>
          </w:drawing>
        </w:r>
      </w:ins>
      <w:del w:id="108" w:author="Piazza, Rich" w:date="2015-12-01T09:53:00Z">
        <w:r w:rsidR="00866130" w:rsidDel="007E4E31">
          <w:rPr>
            <w:noProof/>
          </w:rPr>
          <w:lastRenderedPageBreak/>
          <w:drawing>
            <wp:inline distT="0" distB="0" distL="0" distR="0" wp14:anchorId="42BDDF5C" wp14:editId="1E48F012">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7">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del>
    </w:p>
    <w:p w14:paraId="6EBD56D2" w14:textId="77777777" w:rsidR="00866130" w:rsidRPr="003E2DB5" w:rsidRDefault="00866130" w:rsidP="00485C45">
      <w:pPr>
        <w:pStyle w:val="Caption"/>
        <w:rPr>
          <w:b/>
        </w:rPr>
      </w:pPr>
      <w:bookmarkStart w:id="109" w:name="_Ref394447695"/>
      <w:bookmarkStart w:id="110" w:name="_Ref421095430"/>
      <w:r w:rsidRPr="003E2DB5">
        <w:t xml:space="preserve">Figure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3E2DB5">
        <w:noBreakHyphen/>
      </w:r>
      <w:r w:rsidR="00CF6642">
        <w:fldChar w:fldCharType="begin"/>
      </w:r>
      <w:r w:rsidR="00CF6642">
        <w:instrText xml:space="preserve"> SEQ Figure \* ARABIC \s 1 </w:instrText>
      </w:r>
      <w:r w:rsidR="00CF6642">
        <w:fldChar w:fldCharType="separate"/>
      </w:r>
      <w:r w:rsidR="00151045">
        <w:rPr>
          <w:noProof/>
        </w:rPr>
        <w:t>1</w:t>
      </w:r>
      <w:r w:rsidR="00CF6642">
        <w:rPr>
          <w:noProof/>
        </w:rPr>
        <w:fldChar w:fldCharType="end"/>
      </w:r>
      <w:bookmarkEnd w:id="109"/>
      <w:r w:rsidRPr="003E2DB5">
        <w:t xml:space="preserve">. UML diagram of the </w:t>
      </w:r>
      <w:r w:rsidRPr="003E2DB5">
        <w:rPr>
          <w:rFonts w:ascii="Courier New" w:hAnsi="Courier New" w:cs="Courier New"/>
        </w:rPr>
        <w:t>ReportType</w:t>
      </w:r>
      <w:r w:rsidRPr="003E2DB5">
        <w:t xml:space="preserve"> class</w:t>
      </w:r>
      <w:bookmarkEnd w:id="110"/>
    </w:p>
    <w:p w14:paraId="70B8B464" w14:textId="77777777" w:rsidR="00866130" w:rsidRPr="00055956" w:rsidRDefault="00866130" w:rsidP="00485C45">
      <w:pPr>
        <w:pStyle w:val="Caption"/>
        <w:rPr>
          <w:b/>
          <w:szCs w:val="24"/>
        </w:rPr>
      </w:pPr>
      <w:bookmarkStart w:id="111" w:name="_Ref420947756"/>
      <w:bookmarkStart w:id="112" w:name="_Ref421095476"/>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1</w:t>
      </w:r>
      <w:r w:rsidR="00CF6642">
        <w:rPr>
          <w:noProof/>
        </w:rPr>
        <w:fldChar w:fldCharType="end"/>
      </w:r>
      <w:bookmarkEnd w:id="111"/>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2"/>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3" w:name="_Ref421012926"/>
      <w:bookmarkStart w:id="114" w:name="_Toc421527894"/>
      <w:bookmarkStart w:id="115" w:name="_Toc429574578"/>
      <w:bookmarkStart w:id="116" w:name="_Ref399154163"/>
      <w:bookmarkStart w:id="117" w:name="_Ref399407503"/>
      <w:r w:rsidRPr="00055956">
        <w:lastRenderedPageBreak/>
        <w:t>ReportVersionEnum Enumeration</w:t>
      </w:r>
      <w:bookmarkEnd w:id="113"/>
      <w:bookmarkEnd w:id="114"/>
      <w:bookmarkEnd w:id="115"/>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8" w:name="_Ref420658526"/>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2</w:t>
      </w:r>
      <w:r w:rsidR="00CF6642">
        <w:rPr>
          <w:noProof/>
        </w:rPr>
        <w:fldChar w:fldCharType="end"/>
      </w:r>
      <w:bookmarkEnd w:id="118"/>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9" w:name="_Ref421016955"/>
      <w:bookmarkStart w:id="120" w:name="_Toc421527895"/>
      <w:bookmarkStart w:id="121" w:name="_Toc429574579"/>
      <w:r w:rsidRPr="00055956">
        <w:t>HeaderType Class</w:t>
      </w:r>
      <w:bookmarkEnd w:id="116"/>
      <w:bookmarkEnd w:id="117"/>
      <w:bookmarkEnd w:id="119"/>
      <w:bookmarkEnd w:id="120"/>
      <w:bookmarkEnd w:id="121"/>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22" w:name="_Ref420947234"/>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3</w:t>
      </w:r>
      <w:r w:rsidR="00CF6642">
        <w:rPr>
          <w:noProof/>
        </w:rPr>
        <w:fldChar w:fldCharType="end"/>
      </w:r>
      <w:bookmarkEnd w:id="122"/>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22EB174A" w:rsidR="00866130" w:rsidRPr="003E2DB5" w:rsidRDefault="00866130" w:rsidP="00CF6642">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w:t>
            </w:r>
            <w:del w:id="123" w:author="Piazza, Rich" w:date="2016-01-20T12:53:00Z">
              <w:r w:rsidRPr="003E2DB5" w:rsidDel="00CF6642">
                <w:rPr>
                  <w:color w:val="000000"/>
                  <w:szCs w:val="22"/>
                </w:rPr>
                <w:delText>class</w:delText>
              </w:r>
            </w:del>
            <w:ins w:id="124" w:author="Piazza, Rich" w:date="2016-01-20T12:53:00Z">
              <w:r w:rsidR="00CF6642">
                <w:rPr>
                  <w:color w:val="000000"/>
                  <w:szCs w:val="22"/>
                </w:rPr>
                <w:t>data type</w:t>
              </w:r>
            </w:ins>
            <w:r w:rsidRPr="003E2DB5">
              <w:rPr>
                <w:color w:val="000000"/>
                <w:szCs w:val="22"/>
              </w:rPr>
              <w:t>.</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00EBF9CE"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w:t>
            </w:r>
            <w:r w:rsidR="008C4724" w:rsidRPr="003E2DB5">
              <w:rPr>
                <w:color w:val="000000"/>
                <w:szCs w:val="22"/>
              </w:rPr>
              <w:t>identifying</w:t>
            </w:r>
            <w:r w:rsidRPr="003E2DB5">
              <w:rPr>
                <w:color w:val="000000"/>
                <w:szCs w:val="22"/>
              </w:rPr>
              <w:t xml:space="preserve">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428780088"/>
      <w:bookmarkStart w:id="128" w:name="_Toc429574580"/>
      <w:bookmarkStart w:id="129" w:name="_Ref399154173"/>
      <w:r>
        <w:t>Content Aggregation Types</w:t>
      </w:r>
      <w:bookmarkEnd w:id="125"/>
      <w:bookmarkEnd w:id="126"/>
      <w:bookmarkEnd w:id="127"/>
      <w:bookmarkEnd w:id="128"/>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30" w:name="_Toc421527897"/>
      <w:bookmarkStart w:id="131" w:name="_Toc429574581"/>
      <w:r w:rsidRPr="00055956">
        <w:t>IndicatorsType Class</w:t>
      </w:r>
      <w:bookmarkEnd w:id="129"/>
      <w:bookmarkEnd w:id="130"/>
      <w:bookmarkEnd w:id="131"/>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32" w:name="_Ref420947977"/>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4</w:t>
      </w:r>
      <w:r w:rsidR="00CF6642">
        <w:rPr>
          <w:noProof/>
        </w:rPr>
        <w:fldChar w:fldCharType="end"/>
      </w:r>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77777777"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33" w:name="_Toc421527898"/>
      <w:bookmarkStart w:id="134" w:name="_Toc429574582"/>
      <w:r w:rsidRPr="00055956">
        <w:t>TTPsType Class</w:t>
      </w:r>
      <w:bookmarkEnd w:id="133"/>
      <w:bookmarkEnd w:id="134"/>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5" w:name="_Ref420947965"/>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5</w:t>
      </w:r>
      <w:r w:rsidR="00CF6642">
        <w:rPr>
          <w:noProof/>
        </w:rPr>
        <w:fldChar w:fldCharType="end"/>
      </w:r>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77777777"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6" w:name="_Toc421527899"/>
      <w:bookmarkStart w:id="137" w:name="_Toc429574583"/>
      <w:r w:rsidRPr="00055956">
        <w:lastRenderedPageBreak/>
        <w:t>IncidentsType Class</w:t>
      </w:r>
      <w:bookmarkEnd w:id="136"/>
      <w:bookmarkEnd w:id="137"/>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8" w:name="_Ref420947945"/>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6</w:t>
      </w:r>
      <w:r w:rsidR="00CF6642">
        <w:rPr>
          <w:noProof/>
        </w:rPr>
        <w:fldChar w:fldCharType="end"/>
      </w:r>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9" w:name="_Toc421527900"/>
      <w:bookmarkStart w:id="140" w:name="_Toc429574584"/>
      <w:r w:rsidRPr="00055956">
        <w:t>CoursesOfActionType Class</w:t>
      </w:r>
      <w:bookmarkEnd w:id="139"/>
      <w:bookmarkEnd w:id="140"/>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41" w:name="_Ref420947935"/>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7</w:t>
      </w:r>
      <w:r w:rsidR="00CF6642">
        <w:rPr>
          <w:noProof/>
        </w:rPr>
        <w:fldChar w:fldCharType="end"/>
      </w:r>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77777777"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42" w:name="_Toc421527901"/>
      <w:bookmarkStart w:id="143" w:name="_Toc429574585"/>
      <w:r w:rsidRPr="00055956">
        <w:t>CampaignsType Class</w:t>
      </w:r>
      <w:bookmarkEnd w:id="142"/>
      <w:bookmarkEnd w:id="143"/>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44" w:name="_Ref420947927"/>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8</w:t>
      </w:r>
      <w:r w:rsidR="00CF6642">
        <w:rPr>
          <w:noProof/>
        </w:rPr>
        <w:fldChar w:fldCharType="end"/>
      </w:r>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5" w:name="_Toc421527902"/>
      <w:bookmarkStart w:id="146" w:name="_Toc429574586"/>
      <w:r w:rsidRPr="00055956">
        <w:lastRenderedPageBreak/>
        <w:t>ThreatActorsType Class</w:t>
      </w:r>
      <w:bookmarkEnd w:id="145"/>
      <w:bookmarkEnd w:id="146"/>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7" w:name="_Ref420947918"/>
      <w:r w:rsidRPr="00055956">
        <w:t xml:space="preserve">Table </w:t>
      </w:r>
      <w:r w:rsidR="00CF6642">
        <w:fldChar w:fldCharType="begin"/>
      </w:r>
      <w:r w:rsidR="00CF6642">
        <w:instrText xml:space="preserve"> STYLEREF 1 </w:instrText>
      </w:r>
      <w:r w:rsidR="00CF6642">
        <w:instrText xml:space="preserve">\s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9</w:t>
      </w:r>
      <w:r w:rsidR="00CF6642">
        <w:rPr>
          <w:noProof/>
        </w:rPr>
        <w:fldChar w:fldCharType="end"/>
      </w:r>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25DD1A75" w:rsidR="00866130" w:rsidRPr="003E2DB5" w:rsidRDefault="00866130" w:rsidP="008C4724">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w:t>
            </w:r>
            <w:r w:rsidR="008C4724">
              <w:rPr>
                <w:szCs w:val="22"/>
              </w:rPr>
              <w:t>a</w:t>
            </w:r>
            <w:r w:rsidRPr="003E2DB5">
              <w:rPr>
                <w:szCs w:val="22"/>
              </w:rPr>
              <w:t xml:space="preserve">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8" w:name="_Ref421012933"/>
      <w:bookmarkStart w:id="149" w:name="_Toc421527903"/>
      <w:bookmarkStart w:id="150" w:name="_Toc429574587"/>
      <w:r w:rsidRPr="00055956">
        <w:t>RelatedReportsType Class</w:t>
      </w:r>
      <w:bookmarkEnd w:id="148"/>
      <w:bookmarkEnd w:id="149"/>
      <w:bookmarkEnd w:id="150"/>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8">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51" w:name="_Ref420947898"/>
      <w:r w:rsidRPr="00055956">
        <w:t xml:space="preserve">Figure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Figure \* ARABIC \s 1 </w:instrText>
      </w:r>
      <w:r w:rsidR="00CF6642">
        <w:fldChar w:fldCharType="separate"/>
      </w:r>
      <w:r w:rsidR="00151045">
        <w:rPr>
          <w:noProof/>
        </w:rPr>
        <w:t>2</w:t>
      </w:r>
      <w:r w:rsidR="00CF6642">
        <w:rPr>
          <w:noProof/>
        </w:rPr>
        <w:fldChar w:fldCharType="end"/>
      </w:r>
      <w:bookmarkEnd w:id="151"/>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52" w:name="_Ref420947910"/>
      <w:r w:rsidRPr="00055956">
        <w:t xml:space="preserve">Table </w:t>
      </w:r>
      <w:r w:rsidR="00CF6642">
        <w:fldChar w:fldCharType="begin"/>
      </w:r>
      <w:r w:rsidR="00CF6642">
        <w:instrText xml:space="preserve"> STYLEREF 1 \s </w:instrText>
      </w:r>
      <w:r w:rsidR="00CF6642">
        <w:fldChar w:fldCharType="separate"/>
      </w:r>
      <w:r w:rsidR="00151045">
        <w:rPr>
          <w:noProof/>
        </w:rPr>
        <w:t>3</w:t>
      </w:r>
      <w:r w:rsidR="00CF6642">
        <w:rPr>
          <w:noProof/>
        </w:rPr>
        <w:fldChar w:fldCharType="end"/>
      </w:r>
      <w:r w:rsidRPr="00055956">
        <w:noBreakHyphen/>
      </w:r>
      <w:r w:rsidR="00CF6642">
        <w:fldChar w:fldCharType="begin"/>
      </w:r>
      <w:r w:rsidR="00CF6642">
        <w:instrText xml:space="preserve"> SEQ Table \* ARABIC \s 1 </w:instrText>
      </w:r>
      <w:r w:rsidR="00CF6642">
        <w:fldChar w:fldCharType="separate"/>
      </w:r>
      <w:r w:rsidR="00151045">
        <w:rPr>
          <w:noProof/>
        </w:rPr>
        <w:t>10</w:t>
      </w:r>
      <w:r w:rsidR="00CF6642">
        <w:rPr>
          <w:noProof/>
        </w:rPr>
        <w:fldChar w:fldCharType="end"/>
      </w:r>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53" w:name="_Ref428698714"/>
    </w:p>
    <w:p w14:paraId="240A85D2" w14:textId="77777777" w:rsidR="00AE0702" w:rsidRPr="00FD22AC" w:rsidRDefault="00AE0702" w:rsidP="00FD22AC">
      <w:pPr>
        <w:pStyle w:val="Heading1"/>
      </w:pPr>
      <w:bookmarkStart w:id="154" w:name="_Ref428779804"/>
      <w:bookmarkStart w:id="155" w:name="_Toc429574588"/>
      <w:r w:rsidRPr="00FD22AC">
        <w:lastRenderedPageBreak/>
        <w:t>Conformance</w:t>
      </w:r>
      <w:bookmarkEnd w:id="102"/>
      <w:bookmarkEnd w:id="153"/>
      <w:bookmarkEnd w:id="154"/>
      <w:bookmarkEnd w:id="155"/>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17A90">
        <w:t>.</w:t>
      </w:r>
    </w:p>
    <w:p w14:paraId="2CEC6269" w14:textId="77777777" w:rsidR="0052099F" w:rsidRDefault="00B80CDB" w:rsidP="00CE1F32">
      <w:pPr>
        <w:pStyle w:val="AppendixHeading1"/>
      </w:pPr>
      <w:bookmarkStart w:id="156" w:name="_Toc85472897"/>
      <w:bookmarkStart w:id="157" w:name="_Toc287332012"/>
      <w:bookmarkStart w:id="158" w:name="_Toc429574589"/>
      <w:r>
        <w:lastRenderedPageBreak/>
        <w:t>Acknowl</w:t>
      </w:r>
      <w:r w:rsidR="004D0E5E">
        <w:t>e</w:t>
      </w:r>
      <w:r w:rsidR="008F61FB">
        <w:t>dg</w:t>
      </w:r>
      <w:r w:rsidR="0052099F">
        <w:t>ments</w:t>
      </w:r>
      <w:bookmarkEnd w:id="156"/>
      <w:bookmarkEnd w:id="157"/>
      <w:bookmarkEnd w:id="158"/>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9" w:name="_Toc85472898"/>
      <w:bookmarkStart w:id="160" w:name="_Toc287332014"/>
      <w:bookmarkStart w:id="161" w:name="_Toc42957459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235D" w14:textId="77777777" w:rsidR="00B36593" w:rsidRDefault="00B36593" w:rsidP="008C100C">
      <w:r>
        <w:separator/>
      </w:r>
    </w:p>
    <w:p w14:paraId="51EE5DA2" w14:textId="77777777" w:rsidR="00B36593" w:rsidRDefault="00B36593" w:rsidP="008C100C"/>
    <w:p w14:paraId="408AE831" w14:textId="77777777" w:rsidR="00B36593" w:rsidRDefault="00B36593" w:rsidP="008C100C"/>
    <w:p w14:paraId="2BFA7F90" w14:textId="77777777" w:rsidR="00B36593" w:rsidRDefault="00B36593" w:rsidP="008C100C"/>
    <w:p w14:paraId="43FC7009" w14:textId="77777777" w:rsidR="00B36593" w:rsidRDefault="00B36593" w:rsidP="008C100C"/>
    <w:p w14:paraId="4662D000" w14:textId="77777777" w:rsidR="00B36593" w:rsidRDefault="00B36593" w:rsidP="008C100C"/>
    <w:p w14:paraId="57D27BD2" w14:textId="77777777" w:rsidR="00B36593" w:rsidRDefault="00B36593" w:rsidP="008C100C"/>
  </w:endnote>
  <w:endnote w:type="continuationSeparator" w:id="0">
    <w:p w14:paraId="2E99A771" w14:textId="77777777" w:rsidR="00B36593" w:rsidRDefault="00B36593" w:rsidP="008C100C">
      <w:r>
        <w:continuationSeparator/>
      </w:r>
    </w:p>
    <w:p w14:paraId="57B97576" w14:textId="77777777" w:rsidR="00B36593" w:rsidRDefault="00B36593" w:rsidP="008C100C"/>
    <w:p w14:paraId="00DC20CA" w14:textId="77777777" w:rsidR="00B36593" w:rsidRDefault="00B36593" w:rsidP="008C100C"/>
    <w:p w14:paraId="17E28E99" w14:textId="77777777" w:rsidR="00B36593" w:rsidRDefault="00B36593" w:rsidP="008C100C"/>
    <w:p w14:paraId="6985334F" w14:textId="77777777" w:rsidR="00B36593" w:rsidRDefault="00B36593" w:rsidP="008C100C"/>
    <w:p w14:paraId="360E5E17" w14:textId="77777777" w:rsidR="00B36593" w:rsidRDefault="00B36593" w:rsidP="008C100C"/>
    <w:p w14:paraId="603C683A" w14:textId="77777777" w:rsidR="00B36593" w:rsidRDefault="00B36593" w:rsidP="008C100C"/>
  </w:endnote>
  <w:endnote w:id="1">
    <w:p w14:paraId="68B4FA95" w14:textId="77777777"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F6642">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F6642">
      <w:rPr>
        <w:rStyle w:val="PageNumber"/>
        <w:noProof/>
        <w:sz w:val="16"/>
        <w:szCs w:val="16"/>
      </w:rPr>
      <w:t>25</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FB67" w14:textId="77777777" w:rsidR="00B36593" w:rsidRDefault="00B36593" w:rsidP="008C100C">
      <w:r>
        <w:separator/>
      </w:r>
    </w:p>
    <w:p w14:paraId="377F54D1" w14:textId="77777777" w:rsidR="00B36593" w:rsidRDefault="00B36593" w:rsidP="008C100C"/>
  </w:footnote>
  <w:footnote w:type="continuationSeparator" w:id="0">
    <w:p w14:paraId="47D70C69" w14:textId="77777777" w:rsidR="00B36593" w:rsidRDefault="00B36593" w:rsidP="008C100C">
      <w:r>
        <w:continuationSeparator/>
      </w:r>
    </w:p>
    <w:p w14:paraId="2003F4FC" w14:textId="77777777"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E4E31"/>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4724"/>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CF664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49B77-125D-4AEF-AFB6-B244E34A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TotalTime>
  <Pages>25</Pages>
  <Words>5495</Words>
  <Characters>38277</Characters>
  <Application>Microsoft Office Word</Application>
  <DocSecurity>0</DocSecurity>
  <Lines>318</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43685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Piazza, Rich</cp:lastModifiedBy>
  <cp:revision>39</cp:revision>
  <cp:lastPrinted>2011-08-05T16:21:00Z</cp:lastPrinted>
  <dcterms:created xsi:type="dcterms:W3CDTF">2015-08-30T15:40:00Z</dcterms:created>
  <dcterms:modified xsi:type="dcterms:W3CDTF">2016-01-20T17:53:00Z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