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29CE3AF9" w:rsidR="00C71349" w:rsidRPr="00CE06CB" w:rsidRDefault="00266B32" w:rsidP="008C100C">
      <w:pPr>
        <w:pStyle w:val="Title"/>
        <w:rPr>
          <w:sz w:val="28"/>
          <w:szCs w:val="28"/>
        </w:rPr>
      </w:pPr>
      <w:r w:rsidRPr="00266B32">
        <w:rPr>
          <w:sz w:val="28"/>
          <w:szCs w:val="28"/>
        </w:rPr>
        <w:t>STIX</w:t>
      </w:r>
      <w:r w:rsidR="001D5E0E">
        <w:rPr>
          <w:sz w:val="28"/>
          <w:szCs w:val="28"/>
          <w:vertAlign w:val="superscript"/>
        </w:rPr>
        <w:t>TM</w:t>
      </w:r>
      <w:r w:rsidRPr="00266B32">
        <w:rPr>
          <w:sz w:val="28"/>
          <w:szCs w:val="28"/>
        </w:rPr>
        <w:t xml:space="preserve">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F30A50"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240FD0" w:rsidR="00E62DFD" w:rsidRDefault="00E62DFD" w:rsidP="00E62DFD">
      <w:pPr>
        <w:pStyle w:val="RelatedWork"/>
      </w:pPr>
      <w:r>
        <w:rPr>
          <w:i/>
        </w:rPr>
        <w:t>STIX</w:t>
      </w:r>
      <w:r w:rsidR="001D5E0E" w:rsidRPr="001D5E0E">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126C1B86" w14:textId="2BEF4B8C" w:rsidR="00E62DFD" w:rsidRDefault="00755A38" w:rsidP="00E62DFD">
      <w:pPr>
        <w:pStyle w:val="RelatedWork"/>
      </w:pPr>
      <w:r>
        <w:rPr>
          <w:i/>
        </w:rPr>
        <w:t>STIX</w:t>
      </w:r>
      <w:r w:rsidR="001D5E0E" w:rsidRPr="001D5E0E">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1FEE62F2" w:rsidR="00755A38" w:rsidRDefault="00755A38" w:rsidP="00755A38">
      <w:pPr>
        <w:pStyle w:val="RelatedWork"/>
      </w:pPr>
      <w:r w:rsidRPr="00755A38">
        <w:rPr>
          <w:i/>
        </w:rPr>
        <w:t>STIX</w:t>
      </w:r>
      <w:r w:rsidR="001D5E0E" w:rsidRPr="001D5E0E">
        <w:rPr>
          <w:i/>
          <w:vertAlign w:val="superscript"/>
        </w:rPr>
        <w:t>TM</w:t>
      </w:r>
      <w:r w:rsidRPr="00755A38">
        <w:rPr>
          <w:i/>
        </w:rPr>
        <w:t xml:space="preserve"> Version 1.2.1 Part 3: Core</w:t>
      </w:r>
      <w:r w:rsidR="00E62DFD">
        <w:t xml:space="preserve">. </w:t>
      </w:r>
      <w:r w:rsidR="00D20183">
        <w:t>[URI]</w:t>
      </w:r>
    </w:p>
    <w:p w14:paraId="3FE046AD" w14:textId="0EF03B08" w:rsidR="00F94051" w:rsidRDefault="00755A38" w:rsidP="00F94051">
      <w:pPr>
        <w:pStyle w:val="RelatedWork"/>
      </w:pPr>
      <w:r w:rsidRPr="00755A38">
        <w:rPr>
          <w:i/>
        </w:rPr>
        <w:t>STIX</w:t>
      </w:r>
      <w:r w:rsidR="001D5E0E" w:rsidRPr="001D5E0E">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1A043D75" w14:textId="4AE4610D"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5: TTP</w:t>
      </w:r>
      <w:r>
        <w:t xml:space="preserve">. </w:t>
      </w:r>
      <w:r w:rsidR="002813EC">
        <w:t>[URI]</w:t>
      </w:r>
    </w:p>
    <w:p w14:paraId="2FB6667B" w14:textId="3EE382FE"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6: Incident</w:t>
      </w:r>
      <w:r>
        <w:t xml:space="preserve">. </w:t>
      </w:r>
      <w:r w:rsidR="00E35706">
        <w:t>[URI]</w:t>
      </w:r>
    </w:p>
    <w:p w14:paraId="03864046" w14:textId="66954791"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7: Threat Actor</w:t>
      </w:r>
      <w:r>
        <w:t xml:space="preserve">. </w:t>
      </w:r>
      <w:r w:rsidR="00266B32">
        <w:t>[URI]</w:t>
      </w:r>
    </w:p>
    <w:p w14:paraId="505C6AC3" w14:textId="08D71278"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8: Campaign</w:t>
      </w:r>
      <w:r>
        <w:t xml:space="preserve">. </w:t>
      </w:r>
      <w:r w:rsidR="00266B32">
        <w:t>(this document)</w:t>
      </w:r>
    </w:p>
    <w:p w14:paraId="04789090" w14:textId="6DADB229"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9: Course of Action</w:t>
      </w:r>
      <w:r>
        <w:t>. [URI]</w:t>
      </w:r>
    </w:p>
    <w:p w14:paraId="204E8FFF" w14:textId="51492179"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10: Exploit Target</w:t>
      </w:r>
      <w:r>
        <w:t>. [URI]</w:t>
      </w:r>
    </w:p>
    <w:p w14:paraId="00F6FF82" w14:textId="6FB0F2B0"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11: Report</w:t>
      </w:r>
      <w:r>
        <w:t>. [URI]</w:t>
      </w:r>
    </w:p>
    <w:p w14:paraId="1EB4D7D9" w14:textId="5A409974"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12: </w:t>
      </w:r>
      <w:r w:rsidR="00E12D80">
        <w:rPr>
          <w:i/>
        </w:rPr>
        <w:t xml:space="preserve">Default </w:t>
      </w:r>
      <w:r w:rsidRPr="00F94051">
        <w:rPr>
          <w:i/>
        </w:rPr>
        <w:t>Extensions</w:t>
      </w:r>
      <w:r>
        <w:t>. [URI]</w:t>
      </w:r>
    </w:p>
    <w:p w14:paraId="1AC96D76" w14:textId="18DDF1FB"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13: Data Marking</w:t>
      </w:r>
      <w:r>
        <w:t>. [URI]</w:t>
      </w:r>
    </w:p>
    <w:p w14:paraId="3C790DBD" w14:textId="33EF081F" w:rsidR="00F94051" w:rsidRDefault="00F94051" w:rsidP="00F94051">
      <w:pPr>
        <w:pStyle w:val="RelatedWork"/>
      </w:pPr>
      <w:r w:rsidRPr="00F94051">
        <w:rPr>
          <w:i/>
        </w:rPr>
        <w:t>STIX</w:t>
      </w:r>
      <w:r w:rsidR="001D5E0E" w:rsidRPr="001D5E0E">
        <w:rPr>
          <w:i/>
          <w:vertAlign w:val="superscript"/>
        </w:rPr>
        <w:t>TM</w:t>
      </w:r>
      <w:r w:rsidRPr="00F94051">
        <w:rPr>
          <w:i/>
        </w:rPr>
        <w:t xml:space="preserve"> Version 1.2.1 Part 14: Vocabularies</w:t>
      </w:r>
      <w:r>
        <w:t>. [URI]</w:t>
      </w:r>
    </w:p>
    <w:p w14:paraId="0B10E0E5" w14:textId="4698568E" w:rsidR="00E62DFD" w:rsidRDefault="00F94051" w:rsidP="00F94051">
      <w:pPr>
        <w:pStyle w:val="RelatedWork"/>
      </w:pPr>
      <w:r w:rsidRPr="00F94051">
        <w:rPr>
          <w:i/>
        </w:rPr>
        <w:t>STIX</w:t>
      </w:r>
      <w:r w:rsidR="001D5E0E" w:rsidRPr="001D5E0E">
        <w:rPr>
          <w:i/>
          <w:vertAlign w:val="superscript"/>
        </w:rPr>
        <w:t>TM</w:t>
      </w:r>
      <w:r w:rsidRPr="00F94051">
        <w:rPr>
          <w:i/>
        </w:rPr>
        <w:t xml:space="preserve">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w:t>
      </w:r>
      <w:proofErr w:type="gramStart"/>
      <w:r>
        <w:t>to</w:t>
      </w:r>
      <w:proofErr w:type="gramEnd"/>
      <w:r>
        <w:t>:</w:t>
      </w:r>
    </w:p>
    <w:p w14:paraId="27553DB0" w14:textId="499D560C" w:rsidR="008F61FB" w:rsidRDefault="009329C4" w:rsidP="0023482D">
      <w:pPr>
        <w:pStyle w:val="RelatedWork"/>
      </w:pPr>
      <w:proofErr w:type="spellStart"/>
      <w:r w:rsidRPr="000F341C">
        <w:rPr>
          <w:i/>
        </w:rPr>
        <w:t>CybOX</w:t>
      </w:r>
      <w:r w:rsidR="001D5E0E" w:rsidRPr="001D5E0E">
        <w:rPr>
          <w:i/>
          <w:vertAlign w:val="superscript"/>
        </w:rPr>
        <w:t>TM</w:t>
      </w:r>
      <w:proofErr w:type="spellEnd"/>
      <w:r w:rsidRPr="000F341C">
        <w:rPr>
          <w:i/>
        </w:rPr>
        <w:t xml:space="preserve">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w:t>
      </w:r>
      <w:proofErr w:type="gramStart"/>
      <w:r w:rsidRPr="00BC4FA3">
        <w:rPr>
          <w:iCs/>
        </w:rPr>
        <w:t>cyber threat information analysis</w:t>
      </w:r>
      <w:proofErr w:type="gramEnd"/>
      <w:r w:rsidRPr="00BC4FA3">
        <w:rPr>
          <w:iCs/>
        </w:rPr>
        <w:t xml:space="preserve">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w:t>
      </w:r>
      <w:proofErr w:type="gramStart"/>
      <w:r w:rsidR="001847BD" w:rsidRPr="001847BD">
        <w:t>approve</w:t>
      </w:r>
      <w:proofErr w:type="gramEnd"/>
      <w:r w:rsidR="001847BD" w:rsidRPr="001847BD">
        <w:t xml:space="preser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F30A50">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463A3C6" w14:textId="2D8ECCE1" w:rsidR="00D62995" w:rsidRPr="00960D49" w:rsidRDefault="00D62995"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4907CA" w14:textId="77777777" w:rsidR="001847BD" w:rsidRPr="00852E10" w:rsidRDefault="001847BD" w:rsidP="001847BD">
      <w:pPr>
        <w:pStyle w:val="Notices"/>
      </w:pPr>
      <w:r>
        <w:lastRenderedPageBreak/>
        <w:t>Table of Contents</w:t>
      </w:r>
    </w:p>
    <w:p w14:paraId="7347F008" w14:textId="0A6DC71E" w:rsidR="00F30A5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1967" w:history="1">
        <w:r w:rsidR="00F30A50" w:rsidRPr="00D1433D">
          <w:rPr>
            <w:rStyle w:val="Hyperlink"/>
            <w:noProof/>
          </w:rPr>
          <w:t>1</w:t>
        </w:r>
        <w:r w:rsidR="00F30A50">
          <w:rPr>
            <w:rFonts w:asciiTheme="minorHAnsi" w:eastAsiaTheme="minorEastAsia" w:hAnsiTheme="minorHAnsi" w:cstheme="minorBidi"/>
            <w:noProof/>
            <w:sz w:val="22"/>
            <w:szCs w:val="22"/>
          </w:rPr>
          <w:tab/>
        </w:r>
        <w:r w:rsidR="00F30A50" w:rsidRPr="00D1433D">
          <w:rPr>
            <w:rStyle w:val="Hyperlink"/>
            <w:noProof/>
          </w:rPr>
          <w:t>Introduction</w:t>
        </w:r>
        <w:r w:rsidR="00F30A50">
          <w:rPr>
            <w:noProof/>
            <w:webHidden/>
          </w:rPr>
          <w:tab/>
        </w:r>
        <w:r w:rsidR="00F30A50">
          <w:rPr>
            <w:noProof/>
            <w:webHidden/>
          </w:rPr>
          <w:fldChar w:fldCharType="begin"/>
        </w:r>
        <w:r w:rsidR="00F30A50">
          <w:rPr>
            <w:noProof/>
            <w:webHidden/>
          </w:rPr>
          <w:instrText xml:space="preserve"> PAGEREF _Toc444181967 \h </w:instrText>
        </w:r>
        <w:r w:rsidR="00F30A50">
          <w:rPr>
            <w:noProof/>
            <w:webHidden/>
          </w:rPr>
        </w:r>
        <w:r w:rsidR="00F30A50">
          <w:rPr>
            <w:noProof/>
            <w:webHidden/>
          </w:rPr>
          <w:fldChar w:fldCharType="separate"/>
        </w:r>
        <w:r w:rsidR="00F30A50">
          <w:rPr>
            <w:noProof/>
            <w:webHidden/>
          </w:rPr>
          <w:t>4</w:t>
        </w:r>
        <w:r w:rsidR="00F30A50">
          <w:rPr>
            <w:noProof/>
            <w:webHidden/>
          </w:rPr>
          <w:fldChar w:fldCharType="end"/>
        </w:r>
      </w:hyperlink>
    </w:p>
    <w:p w14:paraId="29D064FC" w14:textId="307C797B"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68" w:history="1">
        <w:r w:rsidRPr="00D1433D">
          <w:rPr>
            <w:rStyle w:val="Hyperlink"/>
            <w:noProof/>
          </w:rPr>
          <w:t>1.1 STIX</w:t>
        </w:r>
        <w:r w:rsidRPr="00D1433D">
          <w:rPr>
            <w:rStyle w:val="Hyperlink"/>
            <w:noProof/>
            <w:vertAlign w:val="superscript"/>
          </w:rPr>
          <w:t>TM</w:t>
        </w:r>
        <w:r w:rsidRPr="00D1433D">
          <w:rPr>
            <w:rStyle w:val="Hyperlink"/>
            <w:noProof/>
          </w:rPr>
          <w:t xml:space="preserve"> Specification Documents</w:t>
        </w:r>
        <w:r>
          <w:rPr>
            <w:noProof/>
            <w:webHidden/>
          </w:rPr>
          <w:tab/>
        </w:r>
        <w:r>
          <w:rPr>
            <w:noProof/>
            <w:webHidden/>
          </w:rPr>
          <w:fldChar w:fldCharType="begin"/>
        </w:r>
        <w:r>
          <w:rPr>
            <w:noProof/>
            <w:webHidden/>
          </w:rPr>
          <w:instrText xml:space="preserve"> PAGEREF _Toc444181968 \h </w:instrText>
        </w:r>
        <w:r>
          <w:rPr>
            <w:noProof/>
            <w:webHidden/>
          </w:rPr>
        </w:r>
        <w:r>
          <w:rPr>
            <w:noProof/>
            <w:webHidden/>
          </w:rPr>
          <w:fldChar w:fldCharType="separate"/>
        </w:r>
        <w:r>
          <w:rPr>
            <w:noProof/>
            <w:webHidden/>
          </w:rPr>
          <w:t>4</w:t>
        </w:r>
        <w:r>
          <w:rPr>
            <w:noProof/>
            <w:webHidden/>
          </w:rPr>
          <w:fldChar w:fldCharType="end"/>
        </w:r>
      </w:hyperlink>
    </w:p>
    <w:p w14:paraId="3ABED79C" w14:textId="324D2446"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69" w:history="1">
        <w:r w:rsidRPr="00D1433D">
          <w:rPr>
            <w:rStyle w:val="Hyperlink"/>
            <w:noProof/>
          </w:rPr>
          <w:t>1.2 Document Conventions</w:t>
        </w:r>
        <w:r>
          <w:rPr>
            <w:noProof/>
            <w:webHidden/>
          </w:rPr>
          <w:tab/>
        </w:r>
        <w:r>
          <w:rPr>
            <w:noProof/>
            <w:webHidden/>
          </w:rPr>
          <w:fldChar w:fldCharType="begin"/>
        </w:r>
        <w:r>
          <w:rPr>
            <w:noProof/>
            <w:webHidden/>
          </w:rPr>
          <w:instrText xml:space="preserve"> PAGEREF _Toc444181969 \h </w:instrText>
        </w:r>
        <w:r>
          <w:rPr>
            <w:noProof/>
            <w:webHidden/>
          </w:rPr>
        </w:r>
        <w:r>
          <w:rPr>
            <w:noProof/>
            <w:webHidden/>
          </w:rPr>
          <w:fldChar w:fldCharType="separate"/>
        </w:r>
        <w:r>
          <w:rPr>
            <w:noProof/>
            <w:webHidden/>
          </w:rPr>
          <w:t>5</w:t>
        </w:r>
        <w:r>
          <w:rPr>
            <w:noProof/>
            <w:webHidden/>
          </w:rPr>
          <w:fldChar w:fldCharType="end"/>
        </w:r>
      </w:hyperlink>
    </w:p>
    <w:p w14:paraId="46626120" w14:textId="54755AEF" w:rsidR="00F30A50" w:rsidRDefault="00F30A50">
      <w:pPr>
        <w:pStyle w:val="TOC3"/>
        <w:tabs>
          <w:tab w:val="right" w:leader="dot" w:pos="9350"/>
        </w:tabs>
        <w:rPr>
          <w:rFonts w:asciiTheme="minorHAnsi" w:eastAsiaTheme="minorEastAsia" w:hAnsiTheme="minorHAnsi" w:cstheme="minorBidi"/>
          <w:noProof/>
          <w:sz w:val="22"/>
          <w:szCs w:val="22"/>
        </w:rPr>
      </w:pPr>
      <w:hyperlink w:anchor="_Toc444181970" w:history="1">
        <w:r w:rsidRPr="00D1433D">
          <w:rPr>
            <w:rStyle w:val="Hyperlink"/>
            <w:noProof/>
          </w:rPr>
          <w:t>1.2.1 Fonts</w:t>
        </w:r>
        <w:r>
          <w:rPr>
            <w:noProof/>
            <w:webHidden/>
          </w:rPr>
          <w:tab/>
        </w:r>
        <w:r>
          <w:rPr>
            <w:noProof/>
            <w:webHidden/>
          </w:rPr>
          <w:fldChar w:fldCharType="begin"/>
        </w:r>
        <w:r>
          <w:rPr>
            <w:noProof/>
            <w:webHidden/>
          </w:rPr>
          <w:instrText xml:space="preserve"> PAGEREF _Toc444181970 \h </w:instrText>
        </w:r>
        <w:r>
          <w:rPr>
            <w:noProof/>
            <w:webHidden/>
          </w:rPr>
        </w:r>
        <w:r>
          <w:rPr>
            <w:noProof/>
            <w:webHidden/>
          </w:rPr>
          <w:fldChar w:fldCharType="separate"/>
        </w:r>
        <w:r>
          <w:rPr>
            <w:noProof/>
            <w:webHidden/>
          </w:rPr>
          <w:t>5</w:t>
        </w:r>
        <w:r>
          <w:rPr>
            <w:noProof/>
            <w:webHidden/>
          </w:rPr>
          <w:fldChar w:fldCharType="end"/>
        </w:r>
      </w:hyperlink>
    </w:p>
    <w:p w14:paraId="4734E037" w14:textId="352E63EF" w:rsidR="00F30A50" w:rsidRDefault="00F30A50">
      <w:pPr>
        <w:pStyle w:val="TOC3"/>
        <w:tabs>
          <w:tab w:val="right" w:leader="dot" w:pos="9350"/>
        </w:tabs>
        <w:rPr>
          <w:rFonts w:asciiTheme="minorHAnsi" w:eastAsiaTheme="minorEastAsia" w:hAnsiTheme="minorHAnsi" w:cstheme="minorBidi"/>
          <w:noProof/>
          <w:sz w:val="22"/>
          <w:szCs w:val="22"/>
        </w:rPr>
      </w:pPr>
      <w:hyperlink w:anchor="_Toc444181971" w:history="1">
        <w:r w:rsidRPr="00D1433D">
          <w:rPr>
            <w:rStyle w:val="Hyperlink"/>
            <w:noProof/>
          </w:rPr>
          <w:t>1.2.2 UML Package References</w:t>
        </w:r>
        <w:r>
          <w:rPr>
            <w:noProof/>
            <w:webHidden/>
          </w:rPr>
          <w:tab/>
        </w:r>
        <w:r>
          <w:rPr>
            <w:noProof/>
            <w:webHidden/>
          </w:rPr>
          <w:fldChar w:fldCharType="begin"/>
        </w:r>
        <w:r>
          <w:rPr>
            <w:noProof/>
            <w:webHidden/>
          </w:rPr>
          <w:instrText xml:space="preserve"> PAGEREF _Toc444181971 \h </w:instrText>
        </w:r>
        <w:r>
          <w:rPr>
            <w:noProof/>
            <w:webHidden/>
          </w:rPr>
        </w:r>
        <w:r>
          <w:rPr>
            <w:noProof/>
            <w:webHidden/>
          </w:rPr>
          <w:fldChar w:fldCharType="separate"/>
        </w:r>
        <w:r>
          <w:rPr>
            <w:noProof/>
            <w:webHidden/>
          </w:rPr>
          <w:t>5</w:t>
        </w:r>
        <w:r>
          <w:rPr>
            <w:noProof/>
            <w:webHidden/>
          </w:rPr>
          <w:fldChar w:fldCharType="end"/>
        </w:r>
      </w:hyperlink>
    </w:p>
    <w:p w14:paraId="528A84C8" w14:textId="4FBC8AE2" w:rsidR="00F30A50" w:rsidRDefault="00F30A50">
      <w:pPr>
        <w:pStyle w:val="TOC3"/>
        <w:tabs>
          <w:tab w:val="right" w:leader="dot" w:pos="9350"/>
        </w:tabs>
        <w:rPr>
          <w:rFonts w:asciiTheme="minorHAnsi" w:eastAsiaTheme="minorEastAsia" w:hAnsiTheme="minorHAnsi" w:cstheme="minorBidi"/>
          <w:noProof/>
          <w:sz w:val="22"/>
          <w:szCs w:val="22"/>
        </w:rPr>
      </w:pPr>
      <w:hyperlink w:anchor="_Toc444181972" w:history="1">
        <w:r w:rsidRPr="00D1433D">
          <w:rPr>
            <w:rStyle w:val="Hyperlink"/>
            <w:noProof/>
          </w:rPr>
          <w:t>1.2.3 UML Diagrams</w:t>
        </w:r>
        <w:r>
          <w:rPr>
            <w:noProof/>
            <w:webHidden/>
          </w:rPr>
          <w:tab/>
        </w:r>
        <w:r>
          <w:rPr>
            <w:noProof/>
            <w:webHidden/>
          </w:rPr>
          <w:fldChar w:fldCharType="begin"/>
        </w:r>
        <w:r>
          <w:rPr>
            <w:noProof/>
            <w:webHidden/>
          </w:rPr>
          <w:instrText xml:space="preserve"> PAGEREF _Toc444181972 \h </w:instrText>
        </w:r>
        <w:r>
          <w:rPr>
            <w:noProof/>
            <w:webHidden/>
          </w:rPr>
        </w:r>
        <w:r>
          <w:rPr>
            <w:noProof/>
            <w:webHidden/>
          </w:rPr>
          <w:fldChar w:fldCharType="separate"/>
        </w:r>
        <w:r>
          <w:rPr>
            <w:noProof/>
            <w:webHidden/>
          </w:rPr>
          <w:t>5</w:t>
        </w:r>
        <w:r>
          <w:rPr>
            <w:noProof/>
            <w:webHidden/>
          </w:rPr>
          <w:fldChar w:fldCharType="end"/>
        </w:r>
      </w:hyperlink>
    </w:p>
    <w:p w14:paraId="2714CE97" w14:textId="0F28EFBF" w:rsidR="00F30A50" w:rsidRDefault="00F30A50">
      <w:pPr>
        <w:pStyle w:val="TOC4"/>
        <w:tabs>
          <w:tab w:val="right" w:leader="dot" w:pos="9350"/>
        </w:tabs>
        <w:rPr>
          <w:rFonts w:asciiTheme="minorHAnsi" w:eastAsiaTheme="minorEastAsia" w:hAnsiTheme="minorHAnsi" w:cstheme="minorBidi"/>
          <w:noProof/>
          <w:sz w:val="22"/>
          <w:szCs w:val="22"/>
        </w:rPr>
      </w:pPr>
      <w:hyperlink w:anchor="_Toc444181973" w:history="1">
        <w:r w:rsidRPr="00D1433D">
          <w:rPr>
            <w:rStyle w:val="Hyperlink"/>
            <w:noProof/>
          </w:rPr>
          <w:t>1.2.3.1 Class Properties</w:t>
        </w:r>
        <w:r>
          <w:rPr>
            <w:noProof/>
            <w:webHidden/>
          </w:rPr>
          <w:tab/>
        </w:r>
        <w:r>
          <w:rPr>
            <w:noProof/>
            <w:webHidden/>
          </w:rPr>
          <w:fldChar w:fldCharType="begin"/>
        </w:r>
        <w:r>
          <w:rPr>
            <w:noProof/>
            <w:webHidden/>
          </w:rPr>
          <w:instrText xml:space="preserve"> PAGEREF _Toc444181973 \h </w:instrText>
        </w:r>
        <w:r>
          <w:rPr>
            <w:noProof/>
            <w:webHidden/>
          </w:rPr>
        </w:r>
        <w:r>
          <w:rPr>
            <w:noProof/>
            <w:webHidden/>
          </w:rPr>
          <w:fldChar w:fldCharType="separate"/>
        </w:r>
        <w:r>
          <w:rPr>
            <w:noProof/>
            <w:webHidden/>
          </w:rPr>
          <w:t>6</w:t>
        </w:r>
        <w:r>
          <w:rPr>
            <w:noProof/>
            <w:webHidden/>
          </w:rPr>
          <w:fldChar w:fldCharType="end"/>
        </w:r>
      </w:hyperlink>
    </w:p>
    <w:p w14:paraId="644639D7" w14:textId="30823E97" w:rsidR="00F30A50" w:rsidRDefault="00F30A50">
      <w:pPr>
        <w:pStyle w:val="TOC4"/>
        <w:tabs>
          <w:tab w:val="right" w:leader="dot" w:pos="9350"/>
        </w:tabs>
        <w:rPr>
          <w:rFonts w:asciiTheme="minorHAnsi" w:eastAsiaTheme="minorEastAsia" w:hAnsiTheme="minorHAnsi" w:cstheme="minorBidi"/>
          <w:noProof/>
          <w:sz w:val="22"/>
          <w:szCs w:val="22"/>
        </w:rPr>
      </w:pPr>
      <w:hyperlink w:anchor="_Toc444181974" w:history="1">
        <w:r w:rsidRPr="00D1433D">
          <w:rPr>
            <w:rStyle w:val="Hyperlink"/>
            <w:noProof/>
          </w:rPr>
          <w:t>1.2.3.2 Diagram Icons and Arrow Types</w:t>
        </w:r>
        <w:r>
          <w:rPr>
            <w:noProof/>
            <w:webHidden/>
          </w:rPr>
          <w:tab/>
        </w:r>
        <w:r>
          <w:rPr>
            <w:noProof/>
            <w:webHidden/>
          </w:rPr>
          <w:fldChar w:fldCharType="begin"/>
        </w:r>
        <w:r>
          <w:rPr>
            <w:noProof/>
            <w:webHidden/>
          </w:rPr>
          <w:instrText xml:space="preserve"> PAGEREF _Toc444181974 \h </w:instrText>
        </w:r>
        <w:r>
          <w:rPr>
            <w:noProof/>
            <w:webHidden/>
          </w:rPr>
        </w:r>
        <w:r>
          <w:rPr>
            <w:noProof/>
            <w:webHidden/>
          </w:rPr>
          <w:fldChar w:fldCharType="separate"/>
        </w:r>
        <w:r>
          <w:rPr>
            <w:noProof/>
            <w:webHidden/>
          </w:rPr>
          <w:t>6</w:t>
        </w:r>
        <w:r>
          <w:rPr>
            <w:noProof/>
            <w:webHidden/>
          </w:rPr>
          <w:fldChar w:fldCharType="end"/>
        </w:r>
      </w:hyperlink>
    </w:p>
    <w:p w14:paraId="7525D5C7" w14:textId="0FA7F648" w:rsidR="00F30A50" w:rsidRDefault="00F30A50">
      <w:pPr>
        <w:pStyle w:val="TOC4"/>
        <w:tabs>
          <w:tab w:val="right" w:leader="dot" w:pos="9350"/>
        </w:tabs>
        <w:rPr>
          <w:rFonts w:asciiTheme="minorHAnsi" w:eastAsiaTheme="minorEastAsia" w:hAnsiTheme="minorHAnsi" w:cstheme="minorBidi"/>
          <w:noProof/>
          <w:sz w:val="22"/>
          <w:szCs w:val="22"/>
        </w:rPr>
      </w:pPr>
      <w:hyperlink w:anchor="_Toc444181975" w:history="1">
        <w:r w:rsidRPr="00D1433D">
          <w:rPr>
            <w:rStyle w:val="Hyperlink"/>
            <w:noProof/>
          </w:rPr>
          <w:t>1.2.3.3 Color Coding</w:t>
        </w:r>
        <w:r>
          <w:rPr>
            <w:noProof/>
            <w:webHidden/>
          </w:rPr>
          <w:tab/>
        </w:r>
        <w:r>
          <w:rPr>
            <w:noProof/>
            <w:webHidden/>
          </w:rPr>
          <w:fldChar w:fldCharType="begin"/>
        </w:r>
        <w:r>
          <w:rPr>
            <w:noProof/>
            <w:webHidden/>
          </w:rPr>
          <w:instrText xml:space="preserve"> PAGEREF _Toc444181975 \h </w:instrText>
        </w:r>
        <w:r>
          <w:rPr>
            <w:noProof/>
            <w:webHidden/>
          </w:rPr>
        </w:r>
        <w:r>
          <w:rPr>
            <w:noProof/>
            <w:webHidden/>
          </w:rPr>
          <w:fldChar w:fldCharType="separate"/>
        </w:r>
        <w:r>
          <w:rPr>
            <w:noProof/>
            <w:webHidden/>
          </w:rPr>
          <w:t>7</w:t>
        </w:r>
        <w:r>
          <w:rPr>
            <w:noProof/>
            <w:webHidden/>
          </w:rPr>
          <w:fldChar w:fldCharType="end"/>
        </w:r>
      </w:hyperlink>
    </w:p>
    <w:p w14:paraId="478729FB" w14:textId="399FF050" w:rsidR="00F30A50" w:rsidRDefault="00F30A50">
      <w:pPr>
        <w:pStyle w:val="TOC3"/>
        <w:tabs>
          <w:tab w:val="right" w:leader="dot" w:pos="9350"/>
        </w:tabs>
        <w:rPr>
          <w:rFonts w:asciiTheme="minorHAnsi" w:eastAsiaTheme="minorEastAsia" w:hAnsiTheme="minorHAnsi" w:cstheme="minorBidi"/>
          <w:noProof/>
          <w:sz w:val="22"/>
          <w:szCs w:val="22"/>
        </w:rPr>
      </w:pPr>
      <w:hyperlink w:anchor="_Toc444181976" w:history="1">
        <w:r w:rsidRPr="00D1433D">
          <w:rPr>
            <w:rStyle w:val="Hyperlink"/>
            <w:noProof/>
          </w:rPr>
          <w:t>1.2.4 Property Table Notation</w:t>
        </w:r>
        <w:r>
          <w:rPr>
            <w:noProof/>
            <w:webHidden/>
          </w:rPr>
          <w:tab/>
        </w:r>
        <w:r>
          <w:rPr>
            <w:noProof/>
            <w:webHidden/>
          </w:rPr>
          <w:fldChar w:fldCharType="begin"/>
        </w:r>
        <w:r>
          <w:rPr>
            <w:noProof/>
            <w:webHidden/>
          </w:rPr>
          <w:instrText xml:space="preserve"> PAGEREF _Toc444181976 \h </w:instrText>
        </w:r>
        <w:r>
          <w:rPr>
            <w:noProof/>
            <w:webHidden/>
          </w:rPr>
        </w:r>
        <w:r>
          <w:rPr>
            <w:noProof/>
            <w:webHidden/>
          </w:rPr>
          <w:fldChar w:fldCharType="separate"/>
        </w:r>
        <w:r>
          <w:rPr>
            <w:noProof/>
            <w:webHidden/>
          </w:rPr>
          <w:t>7</w:t>
        </w:r>
        <w:r>
          <w:rPr>
            <w:noProof/>
            <w:webHidden/>
          </w:rPr>
          <w:fldChar w:fldCharType="end"/>
        </w:r>
      </w:hyperlink>
    </w:p>
    <w:p w14:paraId="2762513C" w14:textId="47D303D4" w:rsidR="00F30A50" w:rsidRDefault="00F30A50">
      <w:pPr>
        <w:pStyle w:val="TOC3"/>
        <w:tabs>
          <w:tab w:val="right" w:leader="dot" w:pos="9350"/>
        </w:tabs>
        <w:rPr>
          <w:rFonts w:asciiTheme="minorHAnsi" w:eastAsiaTheme="minorEastAsia" w:hAnsiTheme="minorHAnsi" w:cstheme="minorBidi"/>
          <w:noProof/>
          <w:sz w:val="22"/>
          <w:szCs w:val="22"/>
        </w:rPr>
      </w:pPr>
      <w:hyperlink w:anchor="_Toc444181977" w:history="1">
        <w:r w:rsidRPr="00D1433D">
          <w:rPr>
            <w:rStyle w:val="Hyperlink"/>
            <w:noProof/>
          </w:rPr>
          <w:t>1.2.5 Property and Class Descriptions</w:t>
        </w:r>
        <w:r>
          <w:rPr>
            <w:noProof/>
            <w:webHidden/>
          </w:rPr>
          <w:tab/>
        </w:r>
        <w:r>
          <w:rPr>
            <w:noProof/>
            <w:webHidden/>
          </w:rPr>
          <w:fldChar w:fldCharType="begin"/>
        </w:r>
        <w:r>
          <w:rPr>
            <w:noProof/>
            <w:webHidden/>
          </w:rPr>
          <w:instrText xml:space="preserve"> PAGEREF _Toc444181977 \h </w:instrText>
        </w:r>
        <w:r>
          <w:rPr>
            <w:noProof/>
            <w:webHidden/>
          </w:rPr>
        </w:r>
        <w:r>
          <w:rPr>
            <w:noProof/>
            <w:webHidden/>
          </w:rPr>
          <w:fldChar w:fldCharType="separate"/>
        </w:r>
        <w:r>
          <w:rPr>
            <w:noProof/>
            <w:webHidden/>
          </w:rPr>
          <w:t>7</w:t>
        </w:r>
        <w:r>
          <w:rPr>
            <w:noProof/>
            <w:webHidden/>
          </w:rPr>
          <w:fldChar w:fldCharType="end"/>
        </w:r>
      </w:hyperlink>
    </w:p>
    <w:p w14:paraId="01D3367B" w14:textId="0546C2E5"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78" w:history="1">
        <w:r w:rsidRPr="00D1433D">
          <w:rPr>
            <w:rStyle w:val="Hyperlink"/>
            <w:noProof/>
          </w:rPr>
          <w:t>1.3 Terminology</w:t>
        </w:r>
        <w:r>
          <w:rPr>
            <w:noProof/>
            <w:webHidden/>
          </w:rPr>
          <w:tab/>
        </w:r>
        <w:r>
          <w:rPr>
            <w:noProof/>
            <w:webHidden/>
          </w:rPr>
          <w:fldChar w:fldCharType="begin"/>
        </w:r>
        <w:r>
          <w:rPr>
            <w:noProof/>
            <w:webHidden/>
          </w:rPr>
          <w:instrText xml:space="preserve"> PAGEREF _Toc444181978 \h </w:instrText>
        </w:r>
        <w:r>
          <w:rPr>
            <w:noProof/>
            <w:webHidden/>
          </w:rPr>
        </w:r>
        <w:r>
          <w:rPr>
            <w:noProof/>
            <w:webHidden/>
          </w:rPr>
          <w:fldChar w:fldCharType="separate"/>
        </w:r>
        <w:r>
          <w:rPr>
            <w:noProof/>
            <w:webHidden/>
          </w:rPr>
          <w:t>8</w:t>
        </w:r>
        <w:r>
          <w:rPr>
            <w:noProof/>
            <w:webHidden/>
          </w:rPr>
          <w:fldChar w:fldCharType="end"/>
        </w:r>
      </w:hyperlink>
    </w:p>
    <w:p w14:paraId="1EDDAB55" w14:textId="06AF8DBB"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79" w:history="1">
        <w:r w:rsidRPr="00D1433D">
          <w:rPr>
            <w:rStyle w:val="Hyperlink"/>
            <w:noProof/>
          </w:rPr>
          <w:t>1.4 Normative References</w:t>
        </w:r>
        <w:r>
          <w:rPr>
            <w:noProof/>
            <w:webHidden/>
          </w:rPr>
          <w:tab/>
        </w:r>
        <w:r>
          <w:rPr>
            <w:noProof/>
            <w:webHidden/>
          </w:rPr>
          <w:fldChar w:fldCharType="begin"/>
        </w:r>
        <w:r>
          <w:rPr>
            <w:noProof/>
            <w:webHidden/>
          </w:rPr>
          <w:instrText xml:space="preserve"> PAGEREF _Toc444181979 \h </w:instrText>
        </w:r>
        <w:r>
          <w:rPr>
            <w:noProof/>
            <w:webHidden/>
          </w:rPr>
        </w:r>
        <w:r>
          <w:rPr>
            <w:noProof/>
            <w:webHidden/>
          </w:rPr>
          <w:fldChar w:fldCharType="separate"/>
        </w:r>
        <w:r>
          <w:rPr>
            <w:noProof/>
            <w:webHidden/>
          </w:rPr>
          <w:t>8</w:t>
        </w:r>
        <w:r>
          <w:rPr>
            <w:noProof/>
            <w:webHidden/>
          </w:rPr>
          <w:fldChar w:fldCharType="end"/>
        </w:r>
      </w:hyperlink>
    </w:p>
    <w:p w14:paraId="39029A86" w14:textId="17DCFDCD" w:rsidR="00F30A50" w:rsidRDefault="00F30A50">
      <w:pPr>
        <w:pStyle w:val="TOC1"/>
        <w:rPr>
          <w:rFonts w:asciiTheme="minorHAnsi" w:eastAsiaTheme="minorEastAsia" w:hAnsiTheme="minorHAnsi" w:cstheme="minorBidi"/>
          <w:noProof/>
          <w:sz w:val="22"/>
          <w:szCs w:val="22"/>
        </w:rPr>
      </w:pPr>
      <w:hyperlink w:anchor="_Toc444181980" w:history="1">
        <w:r w:rsidRPr="00D1433D">
          <w:rPr>
            <w:rStyle w:val="Hyperlink"/>
            <w:noProof/>
          </w:rPr>
          <w:t>2</w:t>
        </w:r>
        <w:r>
          <w:rPr>
            <w:rFonts w:asciiTheme="minorHAnsi" w:eastAsiaTheme="minorEastAsia" w:hAnsiTheme="minorHAnsi" w:cstheme="minorBidi"/>
            <w:noProof/>
            <w:sz w:val="22"/>
            <w:szCs w:val="22"/>
          </w:rPr>
          <w:tab/>
        </w:r>
        <w:r w:rsidRPr="00D1433D">
          <w:rPr>
            <w:rStyle w:val="Hyperlink"/>
            <w:noProof/>
          </w:rPr>
          <w:t>Background Information</w:t>
        </w:r>
        <w:r>
          <w:rPr>
            <w:noProof/>
            <w:webHidden/>
          </w:rPr>
          <w:tab/>
        </w:r>
        <w:r>
          <w:rPr>
            <w:noProof/>
            <w:webHidden/>
          </w:rPr>
          <w:fldChar w:fldCharType="begin"/>
        </w:r>
        <w:r>
          <w:rPr>
            <w:noProof/>
            <w:webHidden/>
          </w:rPr>
          <w:instrText xml:space="preserve"> PAGEREF _Toc444181980 \h </w:instrText>
        </w:r>
        <w:r>
          <w:rPr>
            <w:noProof/>
            <w:webHidden/>
          </w:rPr>
        </w:r>
        <w:r>
          <w:rPr>
            <w:noProof/>
            <w:webHidden/>
          </w:rPr>
          <w:fldChar w:fldCharType="separate"/>
        </w:r>
        <w:r>
          <w:rPr>
            <w:noProof/>
            <w:webHidden/>
          </w:rPr>
          <w:t>9</w:t>
        </w:r>
        <w:r>
          <w:rPr>
            <w:noProof/>
            <w:webHidden/>
          </w:rPr>
          <w:fldChar w:fldCharType="end"/>
        </w:r>
      </w:hyperlink>
    </w:p>
    <w:p w14:paraId="33EECB77" w14:textId="14016429"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1" w:history="1">
        <w:r w:rsidRPr="00D1433D">
          <w:rPr>
            <w:rStyle w:val="Hyperlink"/>
            <w:noProof/>
          </w:rPr>
          <w:t>2.1 Campaign-Related Component Data Models</w:t>
        </w:r>
        <w:r>
          <w:rPr>
            <w:noProof/>
            <w:webHidden/>
          </w:rPr>
          <w:tab/>
        </w:r>
        <w:r>
          <w:rPr>
            <w:noProof/>
            <w:webHidden/>
          </w:rPr>
          <w:fldChar w:fldCharType="begin"/>
        </w:r>
        <w:r>
          <w:rPr>
            <w:noProof/>
            <w:webHidden/>
          </w:rPr>
          <w:instrText xml:space="preserve"> PAGEREF _Toc444181981 \h </w:instrText>
        </w:r>
        <w:r>
          <w:rPr>
            <w:noProof/>
            <w:webHidden/>
          </w:rPr>
        </w:r>
        <w:r>
          <w:rPr>
            <w:noProof/>
            <w:webHidden/>
          </w:rPr>
          <w:fldChar w:fldCharType="separate"/>
        </w:r>
        <w:r>
          <w:rPr>
            <w:noProof/>
            <w:webHidden/>
          </w:rPr>
          <w:t>9</w:t>
        </w:r>
        <w:r>
          <w:rPr>
            <w:noProof/>
            <w:webHidden/>
          </w:rPr>
          <w:fldChar w:fldCharType="end"/>
        </w:r>
      </w:hyperlink>
    </w:p>
    <w:p w14:paraId="6B006454" w14:textId="146C45B3" w:rsidR="00F30A50" w:rsidRDefault="00F30A50">
      <w:pPr>
        <w:pStyle w:val="TOC1"/>
        <w:rPr>
          <w:rFonts w:asciiTheme="minorHAnsi" w:eastAsiaTheme="minorEastAsia" w:hAnsiTheme="minorHAnsi" w:cstheme="minorBidi"/>
          <w:noProof/>
          <w:sz w:val="22"/>
          <w:szCs w:val="22"/>
        </w:rPr>
      </w:pPr>
      <w:hyperlink w:anchor="_Toc444181982" w:history="1">
        <w:r w:rsidRPr="00D1433D">
          <w:rPr>
            <w:rStyle w:val="Hyperlink"/>
            <w:noProof/>
          </w:rPr>
          <w:t>3</w:t>
        </w:r>
        <w:r>
          <w:rPr>
            <w:rFonts w:asciiTheme="minorHAnsi" w:eastAsiaTheme="minorEastAsia" w:hAnsiTheme="minorHAnsi" w:cstheme="minorBidi"/>
            <w:noProof/>
            <w:sz w:val="22"/>
            <w:szCs w:val="22"/>
          </w:rPr>
          <w:tab/>
        </w:r>
        <w:r w:rsidRPr="00D1433D">
          <w:rPr>
            <w:rStyle w:val="Hyperlink"/>
            <w:noProof/>
          </w:rPr>
          <w:t>STIX</w:t>
        </w:r>
        <w:r w:rsidRPr="00D1433D">
          <w:rPr>
            <w:rStyle w:val="Hyperlink"/>
            <w:noProof/>
            <w:vertAlign w:val="superscript"/>
          </w:rPr>
          <w:t>TM</w:t>
        </w:r>
        <w:r w:rsidRPr="00D1433D">
          <w:rPr>
            <w:rStyle w:val="Hyperlink"/>
            <w:noProof/>
          </w:rPr>
          <w:t xml:space="preserve"> Campaign Data Model</w:t>
        </w:r>
        <w:r>
          <w:rPr>
            <w:noProof/>
            <w:webHidden/>
          </w:rPr>
          <w:tab/>
        </w:r>
        <w:r>
          <w:rPr>
            <w:noProof/>
            <w:webHidden/>
          </w:rPr>
          <w:fldChar w:fldCharType="begin"/>
        </w:r>
        <w:r>
          <w:rPr>
            <w:noProof/>
            <w:webHidden/>
          </w:rPr>
          <w:instrText xml:space="preserve"> PAGEREF _Toc444181982 \h </w:instrText>
        </w:r>
        <w:r>
          <w:rPr>
            <w:noProof/>
            <w:webHidden/>
          </w:rPr>
        </w:r>
        <w:r>
          <w:rPr>
            <w:noProof/>
            <w:webHidden/>
          </w:rPr>
          <w:fldChar w:fldCharType="separate"/>
        </w:r>
        <w:r>
          <w:rPr>
            <w:noProof/>
            <w:webHidden/>
          </w:rPr>
          <w:t>11</w:t>
        </w:r>
        <w:r>
          <w:rPr>
            <w:noProof/>
            <w:webHidden/>
          </w:rPr>
          <w:fldChar w:fldCharType="end"/>
        </w:r>
      </w:hyperlink>
    </w:p>
    <w:p w14:paraId="0915CB07" w14:textId="18BA9E79"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3" w:history="1">
        <w:r w:rsidRPr="00D1433D">
          <w:rPr>
            <w:rStyle w:val="Hyperlink"/>
            <w:noProof/>
          </w:rPr>
          <w:t>3.1 CampaignVersionType Enumeration</w:t>
        </w:r>
        <w:r>
          <w:rPr>
            <w:noProof/>
            <w:webHidden/>
          </w:rPr>
          <w:tab/>
        </w:r>
        <w:r>
          <w:rPr>
            <w:noProof/>
            <w:webHidden/>
          </w:rPr>
          <w:fldChar w:fldCharType="begin"/>
        </w:r>
        <w:r>
          <w:rPr>
            <w:noProof/>
            <w:webHidden/>
          </w:rPr>
          <w:instrText xml:space="preserve"> PAGEREF _Toc444181983 \h </w:instrText>
        </w:r>
        <w:r>
          <w:rPr>
            <w:noProof/>
            <w:webHidden/>
          </w:rPr>
        </w:r>
        <w:r>
          <w:rPr>
            <w:noProof/>
            <w:webHidden/>
          </w:rPr>
          <w:fldChar w:fldCharType="separate"/>
        </w:r>
        <w:r>
          <w:rPr>
            <w:noProof/>
            <w:webHidden/>
          </w:rPr>
          <w:t>14</w:t>
        </w:r>
        <w:r>
          <w:rPr>
            <w:noProof/>
            <w:webHidden/>
          </w:rPr>
          <w:fldChar w:fldCharType="end"/>
        </w:r>
      </w:hyperlink>
    </w:p>
    <w:p w14:paraId="241A7D39" w14:textId="4A5E5582"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4" w:history="1">
        <w:r w:rsidRPr="00D1433D">
          <w:rPr>
            <w:rStyle w:val="Hyperlink"/>
            <w:noProof/>
          </w:rPr>
          <w:t>3.2 NamesType Class</w:t>
        </w:r>
        <w:r>
          <w:rPr>
            <w:noProof/>
            <w:webHidden/>
          </w:rPr>
          <w:tab/>
        </w:r>
        <w:r>
          <w:rPr>
            <w:noProof/>
            <w:webHidden/>
          </w:rPr>
          <w:fldChar w:fldCharType="begin"/>
        </w:r>
        <w:r>
          <w:rPr>
            <w:noProof/>
            <w:webHidden/>
          </w:rPr>
          <w:instrText xml:space="preserve"> PAGEREF _Toc444181984 \h </w:instrText>
        </w:r>
        <w:r>
          <w:rPr>
            <w:noProof/>
            <w:webHidden/>
          </w:rPr>
        </w:r>
        <w:r>
          <w:rPr>
            <w:noProof/>
            <w:webHidden/>
          </w:rPr>
          <w:fldChar w:fldCharType="separate"/>
        </w:r>
        <w:r>
          <w:rPr>
            <w:noProof/>
            <w:webHidden/>
          </w:rPr>
          <w:t>15</w:t>
        </w:r>
        <w:r>
          <w:rPr>
            <w:noProof/>
            <w:webHidden/>
          </w:rPr>
          <w:fldChar w:fldCharType="end"/>
        </w:r>
      </w:hyperlink>
    </w:p>
    <w:p w14:paraId="2742B798" w14:textId="200335FE"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5" w:history="1">
        <w:r w:rsidRPr="00D1433D">
          <w:rPr>
            <w:rStyle w:val="Hyperlink"/>
            <w:noProof/>
          </w:rPr>
          <w:t>3.3 RelatedTTPsType Class</w:t>
        </w:r>
        <w:r>
          <w:rPr>
            <w:noProof/>
            <w:webHidden/>
          </w:rPr>
          <w:tab/>
        </w:r>
        <w:r>
          <w:rPr>
            <w:noProof/>
            <w:webHidden/>
          </w:rPr>
          <w:fldChar w:fldCharType="begin"/>
        </w:r>
        <w:r>
          <w:rPr>
            <w:noProof/>
            <w:webHidden/>
          </w:rPr>
          <w:instrText xml:space="preserve"> PAGEREF _Toc444181985 \h </w:instrText>
        </w:r>
        <w:r>
          <w:rPr>
            <w:noProof/>
            <w:webHidden/>
          </w:rPr>
        </w:r>
        <w:r>
          <w:rPr>
            <w:noProof/>
            <w:webHidden/>
          </w:rPr>
          <w:fldChar w:fldCharType="separate"/>
        </w:r>
        <w:r>
          <w:rPr>
            <w:noProof/>
            <w:webHidden/>
          </w:rPr>
          <w:t>15</w:t>
        </w:r>
        <w:r>
          <w:rPr>
            <w:noProof/>
            <w:webHidden/>
          </w:rPr>
          <w:fldChar w:fldCharType="end"/>
        </w:r>
      </w:hyperlink>
    </w:p>
    <w:p w14:paraId="458A0B6C" w14:textId="363B1BFA"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6" w:history="1">
        <w:r w:rsidRPr="00D1433D">
          <w:rPr>
            <w:rStyle w:val="Hyperlink"/>
            <w:noProof/>
          </w:rPr>
          <w:t>3.4 RelatedIncidentsType Class</w:t>
        </w:r>
        <w:r>
          <w:rPr>
            <w:noProof/>
            <w:webHidden/>
          </w:rPr>
          <w:tab/>
        </w:r>
        <w:r>
          <w:rPr>
            <w:noProof/>
            <w:webHidden/>
          </w:rPr>
          <w:fldChar w:fldCharType="begin"/>
        </w:r>
        <w:r>
          <w:rPr>
            <w:noProof/>
            <w:webHidden/>
          </w:rPr>
          <w:instrText xml:space="preserve"> PAGEREF _Toc444181986 \h </w:instrText>
        </w:r>
        <w:r>
          <w:rPr>
            <w:noProof/>
            <w:webHidden/>
          </w:rPr>
        </w:r>
        <w:r>
          <w:rPr>
            <w:noProof/>
            <w:webHidden/>
          </w:rPr>
          <w:fldChar w:fldCharType="separate"/>
        </w:r>
        <w:r>
          <w:rPr>
            <w:noProof/>
            <w:webHidden/>
          </w:rPr>
          <w:t>16</w:t>
        </w:r>
        <w:r>
          <w:rPr>
            <w:noProof/>
            <w:webHidden/>
          </w:rPr>
          <w:fldChar w:fldCharType="end"/>
        </w:r>
      </w:hyperlink>
    </w:p>
    <w:p w14:paraId="5BE519D4" w14:textId="14AD2355"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7" w:history="1">
        <w:r w:rsidRPr="00D1433D">
          <w:rPr>
            <w:rStyle w:val="Hyperlink"/>
            <w:noProof/>
          </w:rPr>
          <w:t>3.5 RelatedIndicatorsType Class (deprecated)</w:t>
        </w:r>
        <w:r>
          <w:rPr>
            <w:noProof/>
            <w:webHidden/>
          </w:rPr>
          <w:tab/>
        </w:r>
        <w:r>
          <w:rPr>
            <w:noProof/>
            <w:webHidden/>
          </w:rPr>
          <w:fldChar w:fldCharType="begin"/>
        </w:r>
        <w:r>
          <w:rPr>
            <w:noProof/>
            <w:webHidden/>
          </w:rPr>
          <w:instrText xml:space="preserve"> PAGEREF _Toc444181987 \h </w:instrText>
        </w:r>
        <w:r>
          <w:rPr>
            <w:noProof/>
            <w:webHidden/>
          </w:rPr>
        </w:r>
        <w:r>
          <w:rPr>
            <w:noProof/>
            <w:webHidden/>
          </w:rPr>
          <w:fldChar w:fldCharType="separate"/>
        </w:r>
        <w:r>
          <w:rPr>
            <w:noProof/>
            <w:webHidden/>
          </w:rPr>
          <w:t>17</w:t>
        </w:r>
        <w:r>
          <w:rPr>
            <w:noProof/>
            <w:webHidden/>
          </w:rPr>
          <w:fldChar w:fldCharType="end"/>
        </w:r>
      </w:hyperlink>
    </w:p>
    <w:p w14:paraId="7F1CD3EC" w14:textId="513141BB"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8" w:history="1">
        <w:r w:rsidRPr="00D1433D">
          <w:rPr>
            <w:rStyle w:val="Hyperlink"/>
            <w:noProof/>
          </w:rPr>
          <w:t>3.6 AttributionType Class</w:t>
        </w:r>
        <w:r>
          <w:rPr>
            <w:noProof/>
            <w:webHidden/>
          </w:rPr>
          <w:tab/>
        </w:r>
        <w:r>
          <w:rPr>
            <w:noProof/>
            <w:webHidden/>
          </w:rPr>
          <w:fldChar w:fldCharType="begin"/>
        </w:r>
        <w:r>
          <w:rPr>
            <w:noProof/>
            <w:webHidden/>
          </w:rPr>
          <w:instrText xml:space="preserve"> PAGEREF _Toc444181988 \h </w:instrText>
        </w:r>
        <w:r>
          <w:rPr>
            <w:noProof/>
            <w:webHidden/>
          </w:rPr>
        </w:r>
        <w:r>
          <w:rPr>
            <w:noProof/>
            <w:webHidden/>
          </w:rPr>
          <w:fldChar w:fldCharType="separate"/>
        </w:r>
        <w:r>
          <w:rPr>
            <w:noProof/>
            <w:webHidden/>
          </w:rPr>
          <w:t>19</w:t>
        </w:r>
        <w:r>
          <w:rPr>
            <w:noProof/>
            <w:webHidden/>
          </w:rPr>
          <w:fldChar w:fldCharType="end"/>
        </w:r>
      </w:hyperlink>
    </w:p>
    <w:p w14:paraId="0FFAF2E2" w14:textId="69B37235" w:rsidR="00F30A50" w:rsidRDefault="00F30A50">
      <w:pPr>
        <w:pStyle w:val="TOC2"/>
        <w:tabs>
          <w:tab w:val="right" w:leader="dot" w:pos="9350"/>
        </w:tabs>
        <w:rPr>
          <w:rFonts w:asciiTheme="minorHAnsi" w:eastAsiaTheme="minorEastAsia" w:hAnsiTheme="minorHAnsi" w:cstheme="minorBidi"/>
          <w:noProof/>
          <w:sz w:val="22"/>
          <w:szCs w:val="22"/>
        </w:rPr>
      </w:pPr>
      <w:hyperlink w:anchor="_Toc444181989" w:history="1">
        <w:r w:rsidRPr="00D1433D">
          <w:rPr>
            <w:rStyle w:val="Hyperlink"/>
            <w:noProof/>
          </w:rPr>
          <w:t>3.7 AssociatedCampaignsType Class</w:t>
        </w:r>
        <w:r>
          <w:rPr>
            <w:noProof/>
            <w:webHidden/>
          </w:rPr>
          <w:tab/>
        </w:r>
        <w:r>
          <w:rPr>
            <w:noProof/>
            <w:webHidden/>
          </w:rPr>
          <w:fldChar w:fldCharType="begin"/>
        </w:r>
        <w:r>
          <w:rPr>
            <w:noProof/>
            <w:webHidden/>
          </w:rPr>
          <w:instrText xml:space="preserve"> PAGEREF _Toc444181989 \h </w:instrText>
        </w:r>
        <w:r>
          <w:rPr>
            <w:noProof/>
            <w:webHidden/>
          </w:rPr>
        </w:r>
        <w:r>
          <w:rPr>
            <w:noProof/>
            <w:webHidden/>
          </w:rPr>
          <w:fldChar w:fldCharType="separate"/>
        </w:r>
        <w:r>
          <w:rPr>
            <w:noProof/>
            <w:webHidden/>
          </w:rPr>
          <w:t>20</w:t>
        </w:r>
        <w:r>
          <w:rPr>
            <w:noProof/>
            <w:webHidden/>
          </w:rPr>
          <w:fldChar w:fldCharType="end"/>
        </w:r>
      </w:hyperlink>
    </w:p>
    <w:p w14:paraId="29447C2E" w14:textId="24313BD7" w:rsidR="00F30A50" w:rsidRDefault="00F30A50">
      <w:pPr>
        <w:pStyle w:val="TOC1"/>
        <w:rPr>
          <w:rFonts w:asciiTheme="minorHAnsi" w:eastAsiaTheme="minorEastAsia" w:hAnsiTheme="minorHAnsi" w:cstheme="minorBidi"/>
          <w:noProof/>
          <w:sz w:val="22"/>
          <w:szCs w:val="22"/>
        </w:rPr>
      </w:pPr>
      <w:hyperlink w:anchor="_Toc444181990" w:history="1">
        <w:r w:rsidRPr="00D1433D">
          <w:rPr>
            <w:rStyle w:val="Hyperlink"/>
            <w:noProof/>
          </w:rPr>
          <w:t>4</w:t>
        </w:r>
        <w:r>
          <w:rPr>
            <w:rFonts w:asciiTheme="minorHAnsi" w:eastAsiaTheme="minorEastAsia" w:hAnsiTheme="minorHAnsi" w:cstheme="minorBidi"/>
            <w:noProof/>
            <w:sz w:val="22"/>
            <w:szCs w:val="22"/>
          </w:rPr>
          <w:tab/>
        </w:r>
        <w:r w:rsidRPr="00D1433D">
          <w:rPr>
            <w:rStyle w:val="Hyperlink"/>
            <w:noProof/>
          </w:rPr>
          <w:t>Conformance</w:t>
        </w:r>
        <w:r>
          <w:rPr>
            <w:noProof/>
            <w:webHidden/>
          </w:rPr>
          <w:tab/>
        </w:r>
        <w:r>
          <w:rPr>
            <w:noProof/>
            <w:webHidden/>
          </w:rPr>
          <w:fldChar w:fldCharType="begin"/>
        </w:r>
        <w:r>
          <w:rPr>
            <w:noProof/>
            <w:webHidden/>
          </w:rPr>
          <w:instrText xml:space="preserve"> PAGEREF _Toc444181990 \h </w:instrText>
        </w:r>
        <w:r>
          <w:rPr>
            <w:noProof/>
            <w:webHidden/>
          </w:rPr>
        </w:r>
        <w:r>
          <w:rPr>
            <w:noProof/>
            <w:webHidden/>
          </w:rPr>
          <w:fldChar w:fldCharType="separate"/>
        </w:r>
        <w:r>
          <w:rPr>
            <w:noProof/>
            <w:webHidden/>
          </w:rPr>
          <w:t>22</w:t>
        </w:r>
        <w:r>
          <w:rPr>
            <w:noProof/>
            <w:webHidden/>
          </w:rPr>
          <w:fldChar w:fldCharType="end"/>
        </w:r>
      </w:hyperlink>
    </w:p>
    <w:p w14:paraId="435CAD67" w14:textId="0FD15FC1" w:rsidR="00F30A50" w:rsidRDefault="00F30A50">
      <w:pPr>
        <w:pStyle w:val="TOC1"/>
        <w:rPr>
          <w:rFonts w:asciiTheme="minorHAnsi" w:eastAsiaTheme="minorEastAsia" w:hAnsiTheme="minorHAnsi" w:cstheme="minorBidi"/>
          <w:noProof/>
          <w:sz w:val="22"/>
          <w:szCs w:val="22"/>
        </w:rPr>
      </w:pPr>
      <w:hyperlink w:anchor="_Toc444181991" w:history="1">
        <w:r w:rsidRPr="00D1433D">
          <w:rPr>
            <w:rStyle w:val="Hyperlink"/>
            <w:noProof/>
          </w:rPr>
          <w:t>Appendix A. Acknowledgments</w:t>
        </w:r>
        <w:r>
          <w:rPr>
            <w:noProof/>
            <w:webHidden/>
          </w:rPr>
          <w:tab/>
        </w:r>
        <w:r>
          <w:rPr>
            <w:noProof/>
            <w:webHidden/>
          </w:rPr>
          <w:fldChar w:fldCharType="begin"/>
        </w:r>
        <w:r>
          <w:rPr>
            <w:noProof/>
            <w:webHidden/>
          </w:rPr>
          <w:instrText xml:space="preserve"> PAGEREF _Toc444181991 \h </w:instrText>
        </w:r>
        <w:r>
          <w:rPr>
            <w:noProof/>
            <w:webHidden/>
          </w:rPr>
        </w:r>
        <w:r>
          <w:rPr>
            <w:noProof/>
            <w:webHidden/>
          </w:rPr>
          <w:fldChar w:fldCharType="separate"/>
        </w:r>
        <w:r>
          <w:rPr>
            <w:noProof/>
            <w:webHidden/>
          </w:rPr>
          <w:t>23</w:t>
        </w:r>
        <w:r>
          <w:rPr>
            <w:noProof/>
            <w:webHidden/>
          </w:rPr>
          <w:fldChar w:fldCharType="end"/>
        </w:r>
      </w:hyperlink>
    </w:p>
    <w:p w14:paraId="55752734" w14:textId="6E532EE0" w:rsidR="00F30A50" w:rsidRDefault="00F30A50">
      <w:pPr>
        <w:pStyle w:val="TOC1"/>
        <w:rPr>
          <w:rFonts w:asciiTheme="minorHAnsi" w:eastAsiaTheme="minorEastAsia" w:hAnsiTheme="minorHAnsi" w:cstheme="minorBidi"/>
          <w:noProof/>
          <w:sz w:val="22"/>
          <w:szCs w:val="22"/>
        </w:rPr>
      </w:pPr>
      <w:hyperlink w:anchor="_Toc444181992" w:history="1">
        <w:r w:rsidRPr="00D1433D">
          <w:rPr>
            <w:rStyle w:val="Hyperlink"/>
            <w:noProof/>
          </w:rPr>
          <w:t>Appendix B. Revision History</w:t>
        </w:r>
        <w:r>
          <w:rPr>
            <w:noProof/>
            <w:webHidden/>
          </w:rPr>
          <w:tab/>
        </w:r>
        <w:r>
          <w:rPr>
            <w:noProof/>
            <w:webHidden/>
          </w:rPr>
          <w:fldChar w:fldCharType="begin"/>
        </w:r>
        <w:r>
          <w:rPr>
            <w:noProof/>
            <w:webHidden/>
          </w:rPr>
          <w:instrText xml:space="preserve"> PAGEREF _Toc444181992 \h </w:instrText>
        </w:r>
        <w:r>
          <w:rPr>
            <w:noProof/>
            <w:webHidden/>
          </w:rPr>
        </w:r>
        <w:r>
          <w:rPr>
            <w:noProof/>
            <w:webHidden/>
          </w:rPr>
          <w:fldChar w:fldCharType="separate"/>
        </w:r>
        <w:r>
          <w:rPr>
            <w:noProof/>
            <w:webHidden/>
          </w:rPr>
          <w:t>25</w:t>
        </w:r>
        <w:r>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31986010"/>
      <w:bookmarkStart w:id="5" w:name="_Toc444181967"/>
      <w:r>
        <w:lastRenderedPageBreak/>
        <w:t>Introduction</w:t>
      </w:r>
      <w:bookmarkEnd w:id="0"/>
      <w:bookmarkEnd w:id="3"/>
      <w:bookmarkEnd w:id="4"/>
      <w:bookmarkEnd w:id="5"/>
    </w:p>
    <w:p w14:paraId="09C25D51" w14:textId="77777777" w:rsidR="0012387E" w:rsidRDefault="00EE3C80" w:rsidP="008C100C">
      <w:r w:rsidRPr="00EE3C80">
        <w:t>[All text is norm</w:t>
      </w:r>
      <w:r>
        <w:t>ative unless otherwise labeled]</w:t>
      </w:r>
    </w:p>
    <w:p w14:paraId="0082951E" w14:textId="39EDC510"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pression (</w:t>
      </w:r>
      <w:r>
        <w:t>STIX</w:t>
      </w:r>
      <w:r w:rsidR="001D5E0E">
        <w:rPr>
          <w:vertAlign w:val="superscript"/>
        </w:rPr>
        <w:t>TM</w:t>
      </w:r>
      <w:r>
        <w:t xml:space="preserve">) </w:t>
      </w:r>
      <w:r w:rsidRPr="00986D3B">
        <w:t>framework defines</w:t>
      </w:r>
      <w:r>
        <w:t xml:space="preserve"> nine top-level component data models:  </w:t>
      </w:r>
      <w:r w:rsidRPr="00FC6DFE">
        <w:t>Observable</w:t>
      </w:r>
      <w:r w:rsidR="005B1403">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proofErr w:type="gramStart"/>
      <w:r w:rsidR="0010410A">
        <w:rPr>
          <w:b/>
          <w:color w:val="0000EE"/>
        </w:rPr>
        <w:t>1.1</w:t>
      </w:r>
      <w:proofErr w:type="gramEnd"/>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w:t>
      </w:r>
      <w:proofErr w:type="gramStart"/>
      <w:r>
        <w:t>data model specification details</w:t>
      </w:r>
      <w:proofErr w:type="gramEnd"/>
      <w:r>
        <w:t xml:space="preserve">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2230BA8"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31986011"/>
      <w:bookmarkStart w:id="12" w:name="_Toc444181968"/>
      <w:r>
        <w:t>STIX</w:t>
      </w:r>
      <w:r w:rsidR="001D5E0E">
        <w:rPr>
          <w:vertAlign w:val="superscript"/>
        </w:rPr>
        <w:t>TM</w:t>
      </w:r>
      <w:r>
        <w:t xml:space="preserve"> Specification Documents</w:t>
      </w:r>
      <w:bookmarkEnd w:id="6"/>
      <w:bookmarkEnd w:id="7"/>
      <w:bookmarkEnd w:id="8"/>
      <w:bookmarkEnd w:id="9"/>
      <w:bookmarkEnd w:id="10"/>
      <w:bookmarkEnd w:id="11"/>
      <w:bookmarkEnd w:id="12"/>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524A9BBA"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t xml:space="preserve"> also summarizes the relationship of STIX to other languages, and outlines general STIX data model conventions.</w:t>
      </w:r>
    </w:p>
    <w:p w14:paraId="373C8BC8" w14:textId="2C787EEF"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5">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3059D58C" w:rsidR="00BC4FA3" w:rsidRPr="00484E42" w:rsidRDefault="00BC4FA3" w:rsidP="008D2878">
      <w:pPr>
        <w:pStyle w:val="Caption"/>
        <w:keepNext/>
        <w:keepLines/>
      </w:pPr>
      <w:bookmarkStart w:id="13" w:name="_Ref417296017"/>
      <w:r w:rsidRPr="00484E42">
        <w:t xml:space="preserve">Figure </w:t>
      </w:r>
      <w:r w:rsidR="00F30A50">
        <w:fldChar w:fldCharType="begin"/>
      </w:r>
      <w:r w:rsidR="00F30A50">
        <w:instrText xml:space="preserve"> STYLEREF 1 \s </w:instrText>
      </w:r>
      <w:r w:rsidR="00F30A50">
        <w:fldChar w:fldCharType="separate"/>
      </w:r>
      <w:r w:rsidR="0010410A">
        <w:rPr>
          <w:noProof/>
        </w:rPr>
        <w:t>1</w:t>
      </w:r>
      <w:r w:rsidR="00F30A50">
        <w:rPr>
          <w:noProof/>
        </w:rPr>
        <w:fldChar w:fldCharType="end"/>
      </w:r>
      <w:r w:rsidRPr="00484E42">
        <w:noBreakHyphen/>
      </w:r>
      <w:r w:rsidR="00F30A50">
        <w:fldChar w:fldCharType="begin"/>
      </w:r>
      <w:r w:rsidR="00F30A50">
        <w:instrText xml:space="preserve"> S</w:instrText>
      </w:r>
      <w:r w:rsidR="00F30A50">
        <w:instrText xml:space="preserve">EQ Figure \* ARABIC \s 1 </w:instrText>
      </w:r>
      <w:r w:rsidR="00F30A50">
        <w:fldChar w:fldCharType="separate"/>
      </w:r>
      <w:r w:rsidR="0010410A">
        <w:rPr>
          <w:noProof/>
        </w:rPr>
        <w:t>1</w:t>
      </w:r>
      <w:r w:rsidR="00F30A50">
        <w:rPr>
          <w:noProof/>
        </w:rPr>
        <w:fldChar w:fldCharType="end"/>
      </w:r>
      <w:bookmarkEnd w:id="13"/>
      <w:r w:rsidRPr="00484E42">
        <w:t xml:space="preserve">. </w:t>
      </w:r>
      <w:r w:rsidRPr="00484E42">
        <w:t>STIX</w:t>
      </w:r>
      <w:r w:rsidR="001D5E0E">
        <w:rPr>
          <w:vertAlign w:val="superscript"/>
        </w:rPr>
        <w:t>TM</w:t>
      </w:r>
      <w:r w:rsidRPr="00484E42">
        <w:t xml:space="preserve"> Language v1.2</w:t>
      </w:r>
      <w:r w:rsidR="00484E42">
        <w:t>.1</w:t>
      </w:r>
      <w:r w:rsidRPr="00484E42">
        <w:t xml:space="preserve"> specification documents</w:t>
      </w:r>
    </w:p>
    <w:p w14:paraId="7264EF77" w14:textId="77777777" w:rsidR="00BC4FA3" w:rsidRDefault="00BC4FA3" w:rsidP="00BC4FA3">
      <w:pPr>
        <w:pStyle w:val="Heading2"/>
      </w:pPr>
      <w:bookmarkStart w:id="14" w:name="_Ref394437867"/>
      <w:bookmarkStart w:id="15" w:name="_Toc420658332"/>
      <w:bookmarkStart w:id="16" w:name="_Toc431986012"/>
      <w:bookmarkStart w:id="17" w:name="_Toc444181969"/>
      <w:r>
        <w:t>Document Conventions</w:t>
      </w:r>
      <w:bookmarkEnd w:id="14"/>
      <w:bookmarkEnd w:id="15"/>
      <w:bookmarkEnd w:id="16"/>
      <w:bookmarkEnd w:id="17"/>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8" w:name="_Toc389570603"/>
      <w:bookmarkStart w:id="19" w:name="_Toc389581073"/>
      <w:bookmarkStart w:id="20" w:name="_Toc420658334"/>
      <w:bookmarkStart w:id="21" w:name="_Toc431986013"/>
      <w:bookmarkStart w:id="22" w:name="_Toc444181970"/>
      <w:r>
        <w:t>Fonts</w:t>
      </w:r>
      <w:bookmarkEnd w:id="18"/>
      <w:bookmarkEnd w:id="19"/>
      <w:bookmarkEnd w:id="20"/>
      <w:bookmarkEnd w:id="21"/>
      <w:bookmarkEnd w:id="22"/>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19207609"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w:t>
        </w:r>
        <w:r w:rsidR="001D5E0E">
          <w:rPr>
            <w:rStyle w:val="Hyperlink"/>
            <w:rFonts w:ascii="Arial" w:hAnsi="Arial" w:cs="Arial"/>
            <w:i/>
            <w:sz w:val="20"/>
            <w:szCs w:val="20"/>
            <w:vertAlign w:val="superscript"/>
          </w:rPr>
          <w:t>TM</w:t>
        </w:r>
        <w:r w:rsidR="007B3132" w:rsidRPr="007B3132">
          <w:rPr>
            <w:rStyle w:val="Hyperlink"/>
            <w:rFonts w:ascii="Arial" w:hAnsi="Arial" w:cs="Arial"/>
            <w:i/>
            <w:sz w:val="20"/>
            <w:szCs w:val="20"/>
          </w:rPr>
          <w:t xml:space="preserve">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stixCommon</w:t>
      </w:r>
      <w:proofErr w:type="gramStart"/>
      <w:r w:rsidRPr="0082327D">
        <w:rPr>
          <w:rFonts w:ascii="Courier New" w:hAnsi="Courier New" w:cs="Courier New"/>
          <w:sz w:val="20"/>
        </w:rPr>
        <w:t>:StatementType</w:t>
      </w:r>
      <w:proofErr w:type="gramEnd"/>
      <w:r w:rsidRPr="0082327D">
        <w:rPr>
          <w:rFonts w:ascii="Courier New" w:hAnsi="Courier New" w:cs="Courier New"/>
          <w:sz w:val="20"/>
        </w:rPr>
        <w:t xml:space="preserv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3" w:name="_Ref394486021"/>
      <w:bookmarkStart w:id="24" w:name="_Toc420658335"/>
      <w:bookmarkStart w:id="25" w:name="_Toc431986014"/>
      <w:bookmarkStart w:id="26" w:name="_Toc444181971"/>
      <w:r>
        <w:t>UML Package References</w:t>
      </w:r>
      <w:bookmarkEnd w:id="23"/>
      <w:bookmarkEnd w:id="24"/>
      <w:bookmarkEnd w:id="25"/>
      <w:bookmarkEnd w:id="26"/>
    </w:p>
    <w:p w14:paraId="14F37A03" w14:textId="22DD1D45" w:rsidR="00BC4FA3" w:rsidRDefault="00BC4FA3" w:rsidP="00BC4FA3">
      <w:pPr>
        <w:spacing w:after="240"/>
      </w:pPr>
      <w:bookmarkStart w:id="27" w:name="_Toc389570605"/>
      <w:bookmarkStart w:id="28"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w:t>
      </w:r>
      <w:proofErr w:type="gramStart"/>
      <w:r w:rsidRPr="0082327D">
        <w:rPr>
          <w:rFonts w:ascii="Courier New" w:hAnsi="Courier New" w:cs="Courier New"/>
        </w:rPr>
        <w:t>:class</w:t>
      </w:r>
      <w:proofErr w:type="gramEnd"/>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9" w:name="_Toc420658336"/>
      <w:bookmarkStart w:id="30" w:name="_Toc431986015"/>
      <w:bookmarkStart w:id="31" w:name="_Toc444181972"/>
      <w:r w:rsidRPr="00904E02">
        <w:t>UML Diagrams</w:t>
      </w:r>
      <w:bookmarkEnd w:id="27"/>
      <w:bookmarkEnd w:id="28"/>
      <w:bookmarkEnd w:id="29"/>
      <w:bookmarkEnd w:id="30"/>
      <w:bookmarkEnd w:id="31"/>
    </w:p>
    <w:p w14:paraId="432120D1" w14:textId="77777777" w:rsidR="00BC4FA3" w:rsidRDefault="00BC4FA3" w:rsidP="00BC4FA3">
      <w:pPr>
        <w:spacing w:after="240"/>
      </w:pPr>
      <w:bookmarkStart w:id="32" w:name="_Toc398719452"/>
      <w:bookmarkStart w:id="33" w:name="_Toc389570606"/>
      <w:bookmarkStart w:id="34" w:name="_Toc389581076"/>
      <w:bookmarkStart w:id="35" w:name="_Ref394436861"/>
      <w:r>
        <w:t xml:space="preserve">This specification makes use of UML diagrams </w:t>
      </w:r>
      <w:proofErr w:type="gramStart"/>
      <w:r>
        <w:t>to visually depict</w:t>
      </w:r>
      <w:proofErr w:type="gramEnd"/>
      <w:r>
        <w:t xml:space="preserve">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6" w:name="_Toc420658337"/>
      <w:bookmarkStart w:id="37" w:name="_Toc431986016"/>
      <w:bookmarkStart w:id="38" w:name="_Toc444181973"/>
      <w:r w:rsidRPr="00830876">
        <w:t>Class Properties</w:t>
      </w:r>
      <w:bookmarkEnd w:id="32"/>
      <w:bookmarkEnd w:id="36"/>
      <w:bookmarkEnd w:id="37"/>
      <w:bookmarkEnd w:id="38"/>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9" w:name="_Toc398719453"/>
      <w:bookmarkStart w:id="40" w:name="_Toc420658338"/>
      <w:bookmarkStart w:id="41" w:name="_Toc431986017"/>
      <w:bookmarkStart w:id="42" w:name="_Toc444181974"/>
      <w:r w:rsidRPr="0082327D">
        <w:t>Diagram Icons and Arrow Types</w:t>
      </w:r>
      <w:bookmarkEnd w:id="39"/>
      <w:bookmarkEnd w:id="40"/>
      <w:bookmarkEnd w:id="41"/>
      <w:bookmarkEnd w:id="42"/>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43" w:name="_Ref397637630"/>
      <w:bookmarkStart w:id="44" w:name="_Ref397935245"/>
      <w:bookmarkStart w:id="45" w:name="_Toc398719454"/>
      <w:r w:rsidRPr="00305518">
        <w:t xml:space="preserve">Table </w:t>
      </w:r>
      <w:r w:rsidR="00F30A50">
        <w:fldChar w:fldCharType="begin"/>
      </w:r>
      <w:r w:rsidR="00F30A50">
        <w:instrText xml:space="preserve"> STYLEREF 1 </w:instrText>
      </w:r>
      <w:r w:rsidR="00F30A50">
        <w:instrText xml:space="preserve">\s </w:instrText>
      </w:r>
      <w:r w:rsidR="00F30A50">
        <w:fldChar w:fldCharType="separate"/>
      </w:r>
      <w:r w:rsidR="0010410A">
        <w:rPr>
          <w:noProof/>
        </w:rPr>
        <w:t>1</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1</w:t>
      </w:r>
      <w:r w:rsidR="00F30A50">
        <w:rPr>
          <w:noProof/>
        </w:rPr>
        <w:fldChar w:fldCharType="end"/>
      </w:r>
      <w:bookmarkEnd w:id="4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17924199" r:id="rId28"/>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30" o:title=""/>
                </v:shape>
                <o:OLEObject Type="Embed" ProgID="PBrush" ShapeID="_x0000_i1026" DrawAspect="Content" ObjectID="_1517924200" r:id="rId31"/>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2" o:title=""/>
                </v:shape>
                <o:OLEObject Type="Embed" ProgID="PBrush" ShapeID="_x0000_i1027" DrawAspect="Content" ObjectID="_1517924201" r:id="rId33"/>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A8798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25pt" o:ole="">
                  <v:imagedata r:id="rId34" o:title=""/>
                </v:shape>
                <o:OLEObject Type="Embed" ProgID="PBrush" ShapeID="_x0000_i1028" DrawAspect="Content" ObjectID="_1517924202" r:id="rId35"/>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46" w:name="_Ref417296241"/>
      <w:bookmarkStart w:id="47" w:name="_Toc420658339"/>
      <w:bookmarkStart w:id="48" w:name="_Toc431986018"/>
      <w:bookmarkStart w:id="49" w:name="_Toc444181975"/>
      <w:r w:rsidRPr="0082327D">
        <w:lastRenderedPageBreak/>
        <w:t>Color Coding</w:t>
      </w:r>
      <w:bookmarkEnd w:id="44"/>
      <w:bookmarkEnd w:id="45"/>
      <w:bookmarkEnd w:id="46"/>
      <w:bookmarkEnd w:id="47"/>
      <w:bookmarkEnd w:id="48"/>
      <w:bookmarkEnd w:id="49"/>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50" w:name="_Ref397676401"/>
      <w:r w:rsidRPr="000C4865">
        <w:t xml:space="preserve">Figure </w:t>
      </w:r>
      <w:r w:rsidR="00F30A50">
        <w:fldChar w:fldCharType="begin"/>
      </w:r>
      <w:r w:rsidR="00F30A50">
        <w:instrText xml:space="preserve"> STYLEREF 1 \s </w:instrText>
      </w:r>
      <w:r w:rsidR="00F30A50">
        <w:fldChar w:fldCharType="separate"/>
      </w:r>
      <w:r w:rsidR="0010410A">
        <w:rPr>
          <w:noProof/>
        </w:rPr>
        <w:t>1</w:t>
      </w:r>
      <w:r w:rsidR="00F30A50">
        <w:rPr>
          <w:noProof/>
        </w:rPr>
        <w:fldChar w:fldCharType="end"/>
      </w:r>
      <w:r>
        <w:noBreakHyphen/>
      </w:r>
      <w:r w:rsidR="00F30A50">
        <w:fldChar w:fldCharType="begin"/>
      </w:r>
      <w:r w:rsidR="00F30A50">
        <w:instrText xml:space="preserve"> SEQ Figure \* ARABIC \s 1 </w:instrText>
      </w:r>
      <w:r w:rsidR="00F30A50">
        <w:fldChar w:fldCharType="separate"/>
      </w:r>
      <w:r w:rsidR="0010410A">
        <w:rPr>
          <w:noProof/>
        </w:rPr>
        <w:t>2</w:t>
      </w:r>
      <w:r w:rsidR="00F30A50">
        <w:rPr>
          <w:noProof/>
        </w:rPr>
        <w:fldChar w:fldCharType="end"/>
      </w:r>
      <w:bookmarkEnd w:id="50"/>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51" w:name="_Toc420658340"/>
      <w:bookmarkStart w:id="52" w:name="_Toc431986019"/>
      <w:bookmarkStart w:id="53" w:name="_Toc444181976"/>
      <w:r>
        <w:t>Property Table Notation</w:t>
      </w:r>
      <w:bookmarkEnd w:id="33"/>
      <w:bookmarkEnd w:id="34"/>
      <w:bookmarkEnd w:id="35"/>
      <w:bookmarkEnd w:id="51"/>
      <w:bookmarkEnd w:id="52"/>
      <w:bookmarkEnd w:id="53"/>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54" w:name="_Toc412205415"/>
      <w:bookmarkStart w:id="55" w:name="_Toc420658341"/>
      <w:bookmarkStart w:id="56" w:name="_Toc431986020"/>
      <w:bookmarkStart w:id="57" w:name="_Toc444181977"/>
      <w:r>
        <w:t>Property and Class Descriptions</w:t>
      </w:r>
      <w:bookmarkEnd w:id="54"/>
      <w:bookmarkEnd w:id="55"/>
      <w:bookmarkEnd w:id="56"/>
      <w:bookmarkEnd w:id="5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4E754B44"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A21132" w:rsidRPr="00B90F5C">
              <w:t>identifying</w:t>
            </w:r>
            <w:r w:rsidRPr="00B90F5C">
              <w:t xml:space="preserve">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58" w:name="_Toc85472893"/>
      <w:bookmarkStart w:id="59" w:name="_Toc287332007"/>
      <w:bookmarkStart w:id="60" w:name="_Ref429123389"/>
      <w:bookmarkStart w:id="61" w:name="_Toc431986021"/>
      <w:bookmarkStart w:id="62" w:name="_Toc444181978"/>
      <w:r>
        <w:t>Terminology</w:t>
      </w:r>
      <w:bookmarkEnd w:id="58"/>
      <w:bookmarkEnd w:id="59"/>
      <w:bookmarkEnd w:id="60"/>
      <w:bookmarkEnd w:id="61"/>
      <w:bookmarkEnd w:id="62"/>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63" w:name="_Ref7502892"/>
      <w:bookmarkStart w:id="64" w:name="_Toc12011611"/>
      <w:bookmarkStart w:id="65" w:name="_Toc85472894"/>
      <w:bookmarkStart w:id="66" w:name="_Toc287332008"/>
      <w:bookmarkStart w:id="67" w:name="_Ref429123397"/>
      <w:bookmarkStart w:id="68" w:name="_Toc431986022"/>
      <w:bookmarkStart w:id="69" w:name="_Toc444181979"/>
      <w:r>
        <w:t>Normative</w:t>
      </w:r>
      <w:bookmarkEnd w:id="63"/>
      <w:bookmarkEnd w:id="64"/>
      <w:r>
        <w:t xml:space="preserve"> References</w:t>
      </w:r>
      <w:bookmarkEnd w:id="65"/>
      <w:bookmarkEnd w:id="66"/>
      <w:bookmarkEnd w:id="67"/>
      <w:bookmarkEnd w:id="68"/>
      <w:bookmarkEnd w:id="69"/>
    </w:p>
    <w:p w14:paraId="7E71957A" w14:textId="67D389CF" w:rsidR="00C02DEC" w:rsidRDefault="00C02DEC" w:rsidP="00A8239D">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71" w:name="_Ref429123409"/>
      <w:bookmarkStart w:id="72" w:name="_Toc431986023"/>
      <w:bookmarkStart w:id="73" w:name="_Toc444181980"/>
      <w:r>
        <w:lastRenderedPageBreak/>
        <w:t>Background Information</w:t>
      </w:r>
      <w:bookmarkEnd w:id="71"/>
      <w:bookmarkEnd w:id="72"/>
      <w:bookmarkEnd w:id="73"/>
    </w:p>
    <w:p w14:paraId="282B22A4" w14:textId="77777777" w:rsidR="00BC4FA3" w:rsidRPr="0059493F" w:rsidRDefault="00BC4FA3" w:rsidP="00BC4FA3">
      <w:r>
        <w:t xml:space="preserve">In this section, we provide high level information about the Campaign data model that is necessary </w:t>
      </w:r>
      <w:proofErr w:type="gramStart"/>
      <w:r>
        <w:t>to fully understand</w:t>
      </w:r>
      <w:proofErr w:type="gramEnd"/>
      <w:r>
        <w:t xml:space="preserve">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74" w:name="_Toc420658343"/>
      <w:bookmarkStart w:id="75" w:name="_Toc431986024"/>
      <w:bookmarkStart w:id="76" w:name="_Toc444181981"/>
      <w:r>
        <w:t xml:space="preserve">Campaign-Related </w:t>
      </w:r>
      <w:r w:rsidRPr="002D7380">
        <w:t xml:space="preserve">Component </w:t>
      </w:r>
      <w:r>
        <w:t>Data Models</w:t>
      </w:r>
      <w:bookmarkEnd w:id="74"/>
      <w:bookmarkEnd w:id="75"/>
      <w:bookmarkEnd w:id="76"/>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77" w:name="_Ref397765510"/>
      <w:r w:rsidRPr="000C4865">
        <w:t xml:space="preserve">Figure </w:t>
      </w:r>
      <w:r w:rsidR="00F30A50">
        <w:fldChar w:fldCharType="begin"/>
      </w:r>
      <w:r w:rsidR="00F30A50">
        <w:instrText xml:space="preserve"> STYLEREF 1 \s </w:instrText>
      </w:r>
      <w:r w:rsidR="00F30A50">
        <w:fldChar w:fldCharType="separate"/>
      </w:r>
      <w:r w:rsidR="0010410A">
        <w:rPr>
          <w:noProof/>
        </w:rPr>
        <w:t>2</w:t>
      </w:r>
      <w:r w:rsidR="00F30A50">
        <w:rPr>
          <w:noProof/>
        </w:rPr>
        <w:fldChar w:fldCharType="end"/>
      </w:r>
      <w:r>
        <w:noBreakHyphen/>
      </w:r>
      <w:r w:rsidR="00F30A50">
        <w:fldChar w:fldCharType="begin"/>
      </w:r>
      <w:r w:rsidR="00F30A50">
        <w:instrText xml:space="preserve"> SEQ Figure \* ARABIC \s 1 </w:instrText>
      </w:r>
      <w:r w:rsidR="00F30A50">
        <w:fldChar w:fldCharType="separate"/>
      </w:r>
      <w:r w:rsidR="0010410A">
        <w:rPr>
          <w:noProof/>
        </w:rPr>
        <w:t>1</w:t>
      </w:r>
      <w:r w:rsidR="00F30A50">
        <w:rPr>
          <w:noProof/>
        </w:rPr>
        <w:fldChar w:fldCharType="end"/>
      </w:r>
      <w:bookmarkEnd w:id="77"/>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 xml:space="preserve">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w:t>
      </w:r>
      <w:proofErr w:type="gramStart"/>
      <w:r>
        <w:t>from</w:t>
      </w:r>
      <w:proofErr w:type="gramEnd"/>
      <w:r>
        <w:t>.</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1FA3DE8E" w14:textId="16D012CB" w:rsidR="00BC4FA3" w:rsidRPr="00F30A50" w:rsidRDefault="00BC4FA3" w:rsidP="00F30A50">
      <w:pPr>
        <w:pStyle w:val="ListParagraph"/>
        <w:spacing w:after="240"/>
        <w:contextualSpacing w:val="0"/>
        <w:rPr>
          <w:rFonts w:ascii="Arial" w:hAnsi="Arial"/>
          <w:sz w:val="20"/>
        </w:rPr>
      </w:pPr>
      <w:bookmarkStart w:id="78" w:name="_GoBack"/>
      <w:r w:rsidRPr="0082327D">
        <w:rPr>
          <w:rFonts w:ascii="Arial" w:hAnsi="Arial"/>
          <w:sz w:val="20"/>
        </w:rPr>
        <w:t xml:space="preserve">The Campaign data model is self-referential, enabling one Campaign to reference other Campaigns that </w:t>
      </w:r>
      <w:proofErr w:type="gramStart"/>
      <w:r w:rsidRPr="0082327D">
        <w:rPr>
          <w:rFonts w:ascii="Arial" w:hAnsi="Arial"/>
          <w:sz w:val="20"/>
        </w:rPr>
        <w:t>are asserted to be related</w:t>
      </w:r>
      <w:proofErr w:type="gramEnd"/>
      <w:r w:rsidRPr="0082327D">
        <w:rPr>
          <w:rFonts w:ascii="Arial" w:hAnsi="Arial"/>
          <w:sz w:val="20"/>
        </w:rPr>
        <w:t xml:space="preserve">.  </w:t>
      </w:r>
      <w:proofErr w:type="gramStart"/>
      <w:r w:rsidRPr="0082327D">
        <w:rPr>
          <w:rFonts w:ascii="Arial" w:hAnsi="Arial"/>
          <w:sz w:val="20"/>
        </w:rPr>
        <w:t xml:space="preserve">Self-referential relationships between Campaigns may indicate general associativity or can be used to indicate relationships </w:t>
      </w:r>
      <w:r w:rsidR="00A21132" w:rsidRPr="0082327D">
        <w:rPr>
          <w:rFonts w:ascii="Arial" w:hAnsi="Arial"/>
          <w:sz w:val="20"/>
        </w:rPr>
        <w:t>between</w:t>
      </w:r>
      <w:r w:rsidRPr="0082327D">
        <w:rPr>
          <w:rFonts w:ascii="Arial" w:hAnsi="Arial"/>
          <w:sz w:val="20"/>
        </w:rPr>
        <w:t xml:space="preserve"> different versions of the same Campaign.</w:t>
      </w:r>
      <w:proofErr w:type="gramEnd"/>
      <w:r w:rsidRPr="0082327D">
        <w:rPr>
          <w:rFonts w:ascii="Arial" w:hAnsi="Arial"/>
          <w:sz w:val="20"/>
        </w:rPr>
        <w:t xml:space="preserve"> </w:t>
      </w:r>
    </w:p>
    <w:bookmarkEnd w:id="78"/>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3A33253C"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w:t>
        </w:r>
        <w:r w:rsidR="00A146E6">
          <w:rPr>
            <w:rStyle w:val="Hyperlink"/>
            <w:i/>
            <w:vertAlign w:val="superscript"/>
          </w:rPr>
          <w:t>TM</w:t>
        </w:r>
        <w:r w:rsidR="007B3132" w:rsidRPr="007B3132">
          <w:rPr>
            <w:rStyle w:val="Hyperlink"/>
            <w:i/>
          </w:rPr>
          <w:t xml:space="preserve">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BA982F6"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0187767E"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2F80B394"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STIX</w:t>
        </w:r>
        <w:r w:rsidR="001D5E0E">
          <w:rPr>
            <w:rStyle w:val="Hyperlink"/>
            <w:i/>
            <w:vertAlign w:val="superscript"/>
          </w:rPr>
          <w:t>TM</w:t>
        </w:r>
        <w:r w:rsidR="007B3132" w:rsidRPr="007B3132">
          <w:rPr>
            <w:rStyle w:val="Hyperlink"/>
            <w:i/>
          </w:rPr>
          <w:t xml:space="preserve">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79" w:name="_Toc389570593"/>
      <w:bookmarkStart w:id="80" w:name="_Toc389581063"/>
      <w:bookmarkStart w:id="8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79"/>
      <w:bookmarkEnd w:id="80"/>
      <w:bookmarkEnd w:id="81"/>
    </w:p>
    <w:p w14:paraId="5CB30198" w14:textId="77777777" w:rsidR="00484E42" w:rsidRDefault="00484E42" w:rsidP="00FD22AC">
      <w:pPr>
        <w:pStyle w:val="Heading1"/>
        <w:sectPr w:rsidR="00484E42" w:rsidSect="0012387E">
          <w:endnotePr>
            <w:numFmt w:val="decimal"/>
          </w:endnotePr>
          <w:pgSz w:w="12240" w:h="15840" w:code="1"/>
          <w:pgMar w:top="1440" w:right="1440" w:bottom="720" w:left="1440" w:header="720" w:footer="720" w:gutter="0"/>
          <w:cols w:space="720"/>
          <w:docGrid w:linePitch="360"/>
        </w:sectPr>
      </w:pPr>
      <w:bookmarkStart w:id="82" w:name="_Toc287332011"/>
    </w:p>
    <w:p w14:paraId="5A511655" w14:textId="3AA57F17" w:rsidR="00801F69" w:rsidRDefault="00801F69" w:rsidP="00FD22AC">
      <w:pPr>
        <w:pStyle w:val="Heading1"/>
      </w:pPr>
      <w:bookmarkStart w:id="83" w:name="_Ref429123417"/>
      <w:bookmarkStart w:id="84" w:name="_Toc431986025"/>
      <w:bookmarkStart w:id="85" w:name="_Toc444181982"/>
      <w:r>
        <w:lastRenderedPageBreak/>
        <w:t>STIX</w:t>
      </w:r>
      <w:r w:rsidR="001D5E0E">
        <w:rPr>
          <w:vertAlign w:val="superscript"/>
        </w:rPr>
        <w:t>TM</w:t>
      </w:r>
      <w:r>
        <w:t xml:space="preserve"> Campaign Data Model</w:t>
      </w:r>
      <w:bookmarkEnd w:id="83"/>
      <w:bookmarkEnd w:id="84"/>
      <w:bookmarkEnd w:id="85"/>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86" w:name="_Ref394447695"/>
      <w:r w:rsidRPr="0086379B">
        <w:t xml:space="preserve">Figure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w:instrText>
      </w:r>
      <w:r w:rsidR="00F30A50">
        <w:instrText xml:space="preserve">Q Figure \* ARABIC \s 1 </w:instrText>
      </w:r>
      <w:r w:rsidR="00F30A50">
        <w:fldChar w:fldCharType="separate"/>
      </w:r>
      <w:r w:rsidR="0010410A">
        <w:rPr>
          <w:noProof/>
        </w:rPr>
        <w:t>1</w:t>
      </w:r>
      <w:r w:rsidR="00F30A50">
        <w:rPr>
          <w:noProof/>
        </w:rPr>
        <w:fldChar w:fldCharType="end"/>
      </w:r>
      <w:bookmarkEnd w:id="86"/>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55F09BF6"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w:t>
      </w:r>
      <w:r w:rsidR="00A21132">
        <w:t>referred</w:t>
      </w:r>
      <w:r>
        <w:t xml:space="preserve">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87" w:name="_Ref391380115"/>
      <w:r w:rsidRPr="00C96A2E">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1</w:t>
      </w:r>
      <w:r w:rsidR="00F30A50">
        <w:rPr>
          <w:noProof/>
        </w:rPr>
        <w:fldChar w:fldCharType="end"/>
      </w:r>
      <w:bookmarkEnd w:id="87"/>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3FD91360" w:rsidR="00801F69" w:rsidRPr="0082327D" w:rsidRDefault="00801F69" w:rsidP="00BA2644">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w:t>
            </w:r>
            <w:r w:rsidR="00BA2644">
              <w:rPr>
                <w:szCs w:val="22"/>
              </w:rPr>
              <w:t>data type</w:t>
            </w:r>
            <w:r w:rsidRPr="0082327D">
              <w:rPr>
                <w:szCs w:val="22"/>
              </w:rPr>
              <w:t>.</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w:t>
            </w:r>
            <w:proofErr w:type="gramStart"/>
            <w:r w:rsidRPr="0082327D">
              <w:rPr>
                <w:color w:val="000000"/>
                <w:szCs w:val="22"/>
              </w:rPr>
              <w:t xml:space="preserve">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roofErr w:type="gramEnd"/>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w:t>
            </w:r>
            <w:proofErr w:type="gramStart"/>
            <w:r w:rsidRPr="0082327D">
              <w:rPr>
                <w:szCs w:val="22"/>
              </w:rPr>
              <w:t>than</w:t>
            </w:r>
            <w:proofErr w:type="gramEnd"/>
            <w:r w:rsidRPr="0082327D">
              <w:rPr>
                <w:szCs w:val="22"/>
              </w:rPr>
              <w:t xml:space="preserve">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w:t>
            </w:r>
            <w:proofErr w:type="gramStart"/>
            <w:r w:rsidRPr="0082327D">
              <w:rPr>
                <w:rFonts w:ascii="Courier New" w:hAnsi="Courier New" w:cs="Courier New"/>
                <w:szCs w:val="22"/>
              </w:rPr>
              <w:t>:ControlledVocabularyStringType</w:t>
            </w:r>
            <w:proofErr w:type="gramEnd"/>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w:t>
            </w:r>
            <w:proofErr w:type="gramStart"/>
            <w:r w:rsidRPr="0082327D">
              <w:rPr>
                <w:color w:val="000000"/>
                <w:szCs w:val="22"/>
              </w:rPr>
              <w:t>than</w:t>
            </w:r>
            <w:proofErr w:type="gramEnd"/>
            <w:r w:rsidRPr="0082327D">
              <w:rPr>
                <w:color w:val="000000"/>
                <w:szCs w:val="22"/>
              </w:rPr>
              <w:t xml:space="preserve">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w:t>
            </w:r>
            <w:proofErr w:type="gramStart"/>
            <w:r w:rsidRPr="0082327D">
              <w:rPr>
                <w:rFonts w:ascii="Courier New" w:hAnsi="Courier New" w:cs="Courier New"/>
                <w:szCs w:val="22"/>
              </w:rPr>
              <w:t>:ControlledVocabularyStringType</w:t>
            </w:r>
            <w:proofErr w:type="gramEnd"/>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9845244"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w:t>
            </w:r>
            <w:r w:rsidR="00A21132" w:rsidRPr="0082327D">
              <w:rPr>
                <w:color w:val="000000"/>
                <w:szCs w:val="22"/>
              </w:rPr>
              <w:t>identifying</w:t>
            </w:r>
            <w:r w:rsidRPr="0082327D">
              <w:rPr>
                <w:color w:val="000000"/>
                <w:szCs w:val="22"/>
              </w:rPr>
              <w:t xml:space="preserve">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88" w:name="_Ref394446305"/>
      <w:bookmarkStart w:id="89" w:name="_Toc420658345"/>
      <w:bookmarkStart w:id="90" w:name="_Toc431986026"/>
      <w:bookmarkStart w:id="91" w:name="_Toc444181983"/>
      <w:r>
        <w:t>CampaignVersion</w:t>
      </w:r>
      <w:bookmarkEnd w:id="88"/>
      <w:r>
        <w:t>Type Enumeration</w:t>
      </w:r>
      <w:bookmarkEnd w:id="89"/>
      <w:bookmarkEnd w:id="90"/>
      <w:bookmarkEnd w:id="91"/>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92"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93" w:name="_Ref420658526"/>
      <w:r w:rsidRPr="00C96A2E">
        <w:lastRenderedPageBreak/>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2</w:t>
      </w:r>
      <w:r w:rsidR="00F30A50">
        <w:rPr>
          <w:noProof/>
        </w:rPr>
        <w:fldChar w:fldCharType="end"/>
      </w:r>
      <w:bookmarkEnd w:id="92"/>
      <w:bookmarkEnd w:id="93"/>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94" w:name="_Toc420658346"/>
      <w:bookmarkStart w:id="95" w:name="_Toc431986027"/>
      <w:bookmarkStart w:id="96" w:name="_Toc444181984"/>
      <w:r>
        <w:t>NamesType Class</w:t>
      </w:r>
      <w:bookmarkEnd w:id="94"/>
      <w:bookmarkEnd w:id="95"/>
      <w:bookmarkEnd w:id="96"/>
    </w:p>
    <w:p w14:paraId="5B0BFAE0" w14:textId="4D5F0495"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ue to backward-</w:t>
      </w:r>
      <w:r w:rsidR="00A21132" w:rsidRPr="00224FD3">
        <w:t>compatibility</w:t>
      </w:r>
      <w:r w:rsidRPr="00224FD3">
        <w:t xml:space="preserve"> issues and </w:t>
      </w:r>
      <w:r>
        <w:t xml:space="preserve">will </w:t>
      </w:r>
      <w:r w:rsidRPr="00224FD3">
        <w:t>be corrected in the next major release</w:t>
      </w:r>
      <w:r>
        <w:t xml:space="preserve"> of STIX</w:t>
      </w:r>
      <w:r w:rsidR="00E950A1">
        <w:rPr>
          <w:rStyle w:val="EndnoteReference"/>
        </w:rPr>
        <w:endnoteReference w:id="3"/>
      </w:r>
      <w:r>
        <w:t xml:space="preserve">. At that time, the </w:t>
      </w:r>
      <w:r w:rsidRPr="005755DA">
        <w:rPr>
          <w:rFonts w:ascii="Courier New" w:hAnsi="Courier New" w:cs="Courier New"/>
        </w:rPr>
        <w:t>campaign</w:t>
      </w:r>
      <w:proofErr w:type="gramStart"/>
      <w:r w:rsidRPr="005755DA">
        <w:rPr>
          <w:rFonts w:ascii="Courier New" w:hAnsi="Courier New" w:cs="Courier New"/>
        </w:rPr>
        <w:t>:NamesType</w:t>
      </w:r>
      <w:proofErr w:type="gramEnd"/>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97" w:name="_Ref391382215"/>
      <w:r w:rsidRPr="00C96A2E">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3</w:t>
      </w:r>
      <w:r w:rsidR="00F30A50">
        <w:rPr>
          <w:noProof/>
        </w:rPr>
        <w:fldChar w:fldCharType="end"/>
      </w:r>
      <w:bookmarkEnd w:id="97"/>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w:t>
            </w:r>
            <w:proofErr w:type="gramStart"/>
            <w:r w:rsidRPr="0082327D">
              <w:rPr>
                <w:rFonts w:ascii="Courier New" w:hAnsi="Courier New" w:cs="Courier New"/>
                <w:color w:val="000000"/>
                <w:szCs w:val="22"/>
              </w:rPr>
              <w:t>:ControlledVocabularyStringType</w:t>
            </w:r>
            <w:proofErr w:type="gramEnd"/>
            <w:r w:rsidRPr="0082327D">
              <w:rPr>
                <w:color w:val="000000"/>
                <w:szCs w:val="22"/>
              </w:rPr>
              <w:t xml:space="preserve"> class. </w:t>
            </w:r>
            <w:proofErr w:type="gramStart"/>
            <w:r w:rsidRPr="0082327D">
              <w:rPr>
                <w:color w:val="000000"/>
                <w:szCs w:val="22"/>
              </w:rPr>
              <w:t>No default vocabulary class</w:t>
            </w:r>
            <w:proofErr w:type="gramEnd"/>
            <w:r w:rsidRPr="0082327D">
              <w:rPr>
                <w:color w:val="000000"/>
                <w:szCs w:val="22"/>
              </w:rPr>
              <w:t xml:space="preserve"> has been defined for STIX 1.2.</w:t>
            </w:r>
          </w:p>
        </w:tc>
      </w:tr>
    </w:tbl>
    <w:p w14:paraId="5B4BE894" w14:textId="77777777" w:rsidR="00801F69" w:rsidRDefault="00801F69" w:rsidP="00801F69">
      <w:pPr>
        <w:pStyle w:val="Heading2"/>
      </w:pPr>
      <w:bookmarkStart w:id="98" w:name="_Toc420658347"/>
      <w:bookmarkStart w:id="99" w:name="_Toc431986028"/>
      <w:bookmarkStart w:id="100" w:name="_Toc444181985"/>
      <w:r>
        <w:t>RelatedTTPsType Class</w:t>
      </w:r>
      <w:bookmarkEnd w:id="98"/>
      <w:bookmarkEnd w:id="99"/>
      <w:bookmarkEnd w:id="100"/>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101" w:name="_Ref395023936"/>
      <w:r w:rsidRPr="0086379B">
        <w:t xml:space="preserve">Figure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Figure \* ARABIC \s 1 </w:instrText>
      </w:r>
      <w:r w:rsidR="00F30A50">
        <w:fldChar w:fldCharType="separate"/>
      </w:r>
      <w:r w:rsidR="0010410A">
        <w:rPr>
          <w:noProof/>
        </w:rPr>
        <w:t>2</w:t>
      </w:r>
      <w:r w:rsidR="00F30A50">
        <w:rPr>
          <w:noProof/>
        </w:rPr>
        <w:fldChar w:fldCharType="end"/>
      </w:r>
      <w:bookmarkEnd w:id="101"/>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102" w:name="_Ref391382493"/>
      <w:r w:rsidRPr="00C96A2E">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4</w:t>
      </w:r>
      <w:r w:rsidR="00F30A50">
        <w:rPr>
          <w:noProof/>
        </w:rPr>
        <w:fldChar w:fldCharType="end"/>
      </w:r>
      <w:bookmarkEnd w:id="102"/>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103" w:name="_Ref394941555"/>
      <w:bookmarkStart w:id="104" w:name="_Toc420658348"/>
      <w:bookmarkStart w:id="105" w:name="_Toc431986029"/>
      <w:bookmarkStart w:id="106" w:name="_Toc444181986"/>
      <w:r>
        <w:t>RelatedIncidentsType</w:t>
      </w:r>
      <w:bookmarkEnd w:id="103"/>
      <w:r>
        <w:t xml:space="preserve"> Class</w:t>
      </w:r>
      <w:bookmarkEnd w:id="104"/>
      <w:bookmarkEnd w:id="105"/>
      <w:bookmarkEnd w:id="10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107" w:name="_Ref394476592"/>
      <w:bookmarkStart w:id="108" w:name="_Ref394953855"/>
      <w:r w:rsidRPr="00A34019">
        <w:t xml:space="preserve">Figure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Figure \* ARABIC \s 1 </w:instrText>
      </w:r>
      <w:r w:rsidR="00F30A50">
        <w:fldChar w:fldCharType="separate"/>
      </w:r>
      <w:r w:rsidR="0010410A">
        <w:rPr>
          <w:noProof/>
        </w:rPr>
        <w:t>3</w:t>
      </w:r>
      <w:r w:rsidR="00F30A50">
        <w:rPr>
          <w:noProof/>
        </w:rPr>
        <w:fldChar w:fldCharType="end"/>
      </w:r>
      <w:bookmarkEnd w:id="107"/>
      <w:r w:rsidRPr="00A34019">
        <w:t xml:space="preserve">.  </w:t>
      </w:r>
      <w:bookmarkStart w:id="10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108"/>
      <w:bookmarkEnd w:id="10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110" w:name="_Ref391382644"/>
    </w:p>
    <w:p w14:paraId="1B322606" w14:textId="77777777" w:rsidR="00801F69" w:rsidRDefault="00801F69" w:rsidP="00010CAE">
      <w:pPr>
        <w:pStyle w:val="Caption"/>
        <w:keepNext/>
        <w:keepLines/>
      </w:pPr>
      <w:bookmarkStart w:id="111" w:name="_Ref429124331"/>
      <w:r w:rsidRPr="00C96A2E">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5</w:t>
      </w:r>
      <w:r w:rsidR="00F30A50">
        <w:rPr>
          <w:noProof/>
        </w:rPr>
        <w:fldChar w:fldCharType="end"/>
      </w:r>
      <w:bookmarkEnd w:id="110"/>
      <w:bookmarkEnd w:id="11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112" w:name="_Ref397687406"/>
      <w:bookmarkStart w:id="113" w:name="_Ref417306530"/>
      <w:bookmarkStart w:id="114" w:name="_Ref417306536"/>
      <w:bookmarkStart w:id="115" w:name="_Toc420658349"/>
      <w:bookmarkStart w:id="116" w:name="_Ref381702753"/>
      <w:bookmarkStart w:id="117" w:name="_Toc431986030"/>
      <w:bookmarkStart w:id="118" w:name="_Toc444181987"/>
      <w:r>
        <w:t>RelatedIndicatorsType Class</w:t>
      </w:r>
      <w:bookmarkEnd w:id="112"/>
      <w:r>
        <w:t xml:space="preserve"> (deprecated)</w:t>
      </w:r>
      <w:bookmarkEnd w:id="113"/>
      <w:bookmarkEnd w:id="114"/>
      <w:bookmarkEnd w:id="115"/>
      <w:bookmarkEnd w:id="117"/>
      <w:bookmarkEnd w:id="118"/>
    </w:p>
    <w:p w14:paraId="3D1C29E4" w14:textId="0DF27A61"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rsidR="00A21132">
        <w:t>relevant</w:t>
      </w:r>
      <w:r>
        <w:t xml:space="preserve">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119" w:name="_Ref395028844"/>
      <w:r w:rsidRPr="0086379B">
        <w:t xml:space="preserve">Figure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Figure \* ARABIC \s 1 </w:instrText>
      </w:r>
      <w:r w:rsidR="00F30A50">
        <w:fldChar w:fldCharType="separate"/>
      </w:r>
      <w:r w:rsidR="0010410A">
        <w:rPr>
          <w:noProof/>
        </w:rPr>
        <w:t>4</w:t>
      </w:r>
      <w:r w:rsidR="00F30A50">
        <w:rPr>
          <w:noProof/>
        </w:rPr>
        <w:fldChar w:fldCharType="end"/>
      </w:r>
      <w:bookmarkEnd w:id="119"/>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w:t>
      </w:r>
      <w:proofErr w:type="gramStart"/>
      <w:r w:rsidRPr="00440CCC">
        <w:rPr>
          <w:i/>
        </w:rPr>
        <w:t>for removal in STIX Version 2.0 (it remains in the Campaign data model for backward compatibility)</w:t>
      </w:r>
      <w:proofErr w:type="gramEnd"/>
      <w:r w:rsidRPr="00440CCC">
        <w:rPr>
          <w:i/>
        </w:rPr>
        <w:t xml:space="preserve">.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gramEnd"/>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120" w:name="_Ref391384074"/>
      <w:r w:rsidRPr="00C96A2E">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6</w:t>
      </w:r>
      <w:r w:rsidR="00F30A50">
        <w:rPr>
          <w:noProof/>
        </w:rPr>
        <w:fldChar w:fldCharType="end"/>
      </w:r>
      <w:bookmarkEnd w:id="120"/>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21" w:name="_Toc420658350"/>
      <w:bookmarkStart w:id="122" w:name="_Toc431986031"/>
      <w:bookmarkStart w:id="123" w:name="_Toc444181988"/>
      <w:r>
        <w:t>AttributionType Class</w:t>
      </w:r>
      <w:bookmarkEnd w:id="121"/>
      <w:bookmarkEnd w:id="122"/>
      <w:bookmarkEnd w:id="123"/>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24" w:name="_Ref395029436"/>
      <w:bookmarkStart w:id="125" w:name="_Ref395029191"/>
      <w:r w:rsidRPr="0086379B">
        <w:t xml:space="preserve">Figure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Figure \* ARABIC \s 1 </w:instrText>
      </w:r>
      <w:r w:rsidR="00F30A50">
        <w:fldChar w:fldCharType="separate"/>
      </w:r>
      <w:r w:rsidR="0010410A">
        <w:rPr>
          <w:noProof/>
        </w:rPr>
        <w:t>5</w:t>
      </w:r>
      <w:r w:rsidR="00F30A50">
        <w:rPr>
          <w:noProof/>
        </w:rPr>
        <w:fldChar w:fldCharType="end"/>
      </w:r>
      <w:bookmarkEnd w:id="124"/>
      <w:r>
        <w:t xml:space="preserve">. UML diagram of the </w:t>
      </w:r>
      <w:r>
        <w:rPr>
          <w:rFonts w:ascii="Courier New" w:hAnsi="Courier New" w:cs="Courier New"/>
        </w:rPr>
        <w:t>AttributionType</w:t>
      </w:r>
      <w:r>
        <w:t xml:space="preserve"> class</w:t>
      </w:r>
      <w:bookmarkEnd w:id="125"/>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26" w:name="_Ref391385514"/>
      <w:r w:rsidRPr="00C96A2E">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7</w:t>
      </w:r>
      <w:r w:rsidR="00F30A50">
        <w:rPr>
          <w:noProof/>
        </w:rPr>
        <w:fldChar w:fldCharType="end"/>
      </w:r>
      <w:bookmarkEnd w:id="126"/>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27" w:name="_Ref394446317"/>
      <w:bookmarkStart w:id="128" w:name="_Toc420658351"/>
      <w:bookmarkStart w:id="129" w:name="_Toc431986032"/>
      <w:bookmarkStart w:id="130" w:name="_Toc444181989"/>
      <w:r>
        <w:t>AssociatedCampaigns</w:t>
      </w:r>
      <w:bookmarkEnd w:id="127"/>
      <w:r>
        <w:t>Type Class</w:t>
      </w:r>
      <w:bookmarkEnd w:id="128"/>
      <w:bookmarkEnd w:id="129"/>
      <w:bookmarkEnd w:id="130"/>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31" w:name="_Ref395029998"/>
      <w:bookmarkStart w:id="132"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397125"/>
                    </a:xfrm>
                    <a:prstGeom prst="rect">
                      <a:avLst/>
                    </a:prstGeom>
                  </pic:spPr>
                </pic:pic>
              </a:graphicData>
            </a:graphic>
          </wp:inline>
        </w:drawing>
      </w:r>
      <w:bookmarkEnd w:id="131"/>
      <w:bookmarkEnd w:id="132"/>
    </w:p>
    <w:p w14:paraId="6D8EA896" w14:textId="77777777" w:rsidR="00801F69" w:rsidRDefault="00801F69" w:rsidP="00801F69">
      <w:pPr>
        <w:spacing w:after="240"/>
        <w:jc w:val="center"/>
      </w:pPr>
      <w:bookmarkStart w:id="133"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33"/>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34" w:name="_Ref391385522"/>
    </w:p>
    <w:p w14:paraId="65F2294B" w14:textId="77777777" w:rsidR="00801F69" w:rsidRPr="00056BC7" w:rsidRDefault="00801F69" w:rsidP="00484E42">
      <w:pPr>
        <w:pStyle w:val="Caption"/>
        <w:rPr>
          <w:b/>
        </w:rPr>
      </w:pPr>
      <w:bookmarkStart w:id="135" w:name="_Ref417311625"/>
      <w:r w:rsidRPr="00C96A2E">
        <w:t xml:space="preserve">Table </w:t>
      </w:r>
      <w:r w:rsidR="00F30A50">
        <w:fldChar w:fldCharType="begin"/>
      </w:r>
      <w:r w:rsidR="00F30A50">
        <w:instrText xml:space="preserve"> STYLEREF 1 \s </w:instrText>
      </w:r>
      <w:r w:rsidR="00F30A50">
        <w:fldChar w:fldCharType="separate"/>
      </w:r>
      <w:r w:rsidR="0010410A">
        <w:rPr>
          <w:noProof/>
        </w:rPr>
        <w:t>3</w:t>
      </w:r>
      <w:r w:rsidR="00F30A50">
        <w:rPr>
          <w:noProof/>
        </w:rPr>
        <w:fldChar w:fldCharType="end"/>
      </w:r>
      <w:r>
        <w:noBreakHyphen/>
      </w:r>
      <w:r w:rsidR="00F30A50">
        <w:fldChar w:fldCharType="begin"/>
      </w:r>
      <w:r w:rsidR="00F30A50">
        <w:instrText xml:space="preserve"> SEQ Table \* ARABIC \s 1 </w:instrText>
      </w:r>
      <w:r w:rsidR="00F30A50">
        <w:fldChar w:fldCharType="separate"/>
      </w:r>
      <w:r w:rsidR="0010410A">
        <w:rPr>
          <w:noProof/>
        </w:rPr>
        <w:t>8</w:t>
      </w:r>
      <w:r w:rsidR="00F30A50">
        <w:rPr>
          <w:noProof/>
        </w:rPr>
        <w:fldChar w:fldCharType="end"/>
      </w:r>
      <w:bookmarkEnd w:id="134"/>
      <w:bookmarkEnd w:id="135"/>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116"/>
    </w:tbl>
    <w:p w14:paraId="3BB9F325" w14:textId="77777777" w:rsidR="00801F69" w:rsidRPr="00801F69" w:rsidRDefault="00801F69" w:rsidP="00801F69"/>
    <w:p w14:paraId="67B1AB15" w14:textId="77777777" w:rsidR="00484E42" w:rsidRDefault="00484E42" w:rsidP="00FD22AC">
      <w:pPr>
        <w:pStyle w:val="Heading1"/>
        <w:sectPr w:rsidR="00484E42" w:rsidSect="00484E42">
          <w:endnotePr>
            <w:numFmt w:val="decimal"/>
          </w:endnotePr>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36" w:name="_Ref429123426"/>
      <w:bookmarkStart w:id="137" w:name="_Toc431986033"/>
      <w:bookmarkStart w:id="138" w:name="_Toc444181990"/>
      <w:r w:rsidRPr="00FD22AC">
        <w:lastRenderedPageBreak/>
        <w:t>Conformance</w:t>
      </w:r>
      <w:bookmarkEnd w:id="82"/>
      <w:bookmarkEnd w:id="136"/>
      <w:bookmarkEnd w:id="137"/>
      <w:bookmarkEnd w:id="138"/>
    </w:p>
    <w:p w14:paraId="34046B21" w14:textId="77777777" w:rsidR="00F42E9A" w:rsidRPr="00042761" w:rsidRDefault="00F42E9A" w:rsidP="00F42E9A">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88E8E5B" w14:textId="77777777" w:rsidR="00F42E9A" w:rsidRPr="00042761" w:rsidRDefault="00F42E9A" w:rsidP="00F42E9A">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FF809D4" w14:textId="77777777" w:rsidR="00F42E9A" w:rsidRDefault="00F42E9A" w:rsidP="00F42E9A">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D49D373" w14:textId="699E02DF" w:rsidR="00AE0702" w:rsidRPr="00AE0702" w:rsidRDefault="00F42E9A" w:rsidP="00F42E9A">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39" w:name="_Toc85472897"/>
      <w:bookmarkStart w:id="140" w:name="_Toc287332012"/>
      <w:bookmarkStart w:id="141" w:name="_Toc431986034"/>
      <w:bookmarkStart w:id="142" w:name="_Toc444181991"/>
      <w:r>
        <w:lastRenderedPageBreak/>
        <w:t>Acknowl</w:t>
      </w:r>
      <w:r w:rsidR="004D0E5E">
        <w:t>e</w:t>
      </w:r>
      <w:r w:rsidR="008F61FB">
        <w:t>dg</w:t>
      </w:r>
      <w:r w:rsidR="0052099F">
        <w:t>ments</w:t>
      </w:r>
      <w:bookmarkEnd w:id="139"/>
      <w:bookmarkEnd w:id="140"/>
      <w:bookmarkEnd w:id="141"/>
      <w:bookmarkEnd w:id="142"/>
    </w:p>
    <w:p w14:paraId="3C29A5E6" w14:textId="77777777" w:rsidR="00C32606" w:rsidRDefault="00C32606" w:rsidP="00C32606">
      <w:proofErr w:type="gramStart"/>
      <w:r>
        <w:t>The following individuals have participated in the creation of this specification and are gratefully acknowledged:</w:t>
      </w:r>
      <w:proofErr w:type="gramEnd"/>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proofErr w:type="spellStart"/>
      <w:r>
        <w:t>Jyoti</w:t>
      </w:r>
      <w:proofErr w:type="spellEnd"/>
      <w:r>
        <w:t xml:space="preserve"> </w:t>
      </w:r>
      <w:proofErr w:type="spellStart"/>
      <w:r>
        <w:t>Verma</w:t>
      </w:r>
      <w:proofErr w:type="spellEnd"/>
      <w:r>
        <w:t>, Cisco Systems</w:t>
      </w:r>
    </w:p>
    <w:p w14:paraId="0F298084" w14:textId="77777777" w:rsidR="00E63D8E" w:rsidRDefault="00E63D8E" w:rsidP="00E63D8E">
      <w:pPr>
        <w:pStyle w:val="Contributor"/>
      </w:pPr>
      <w:r>
        <w:t xml:space="preserve">Liron Schiff, </w:t>
      </w:r>
      <w:proofErr w:type="spellStart"/>
      <w:r>
        <w:t>Comilion</w:t>
      </w:r>
      <w:proofErr w:type="spellEnd"/>
      <w:r>
        <w:t xml:space="preserve"> (mobile) Ltd.</w:t>
      </w:r>
    </w:p>
    <w:p w14:paraId="463403BF" w14:textId="77777777" w:rsidR="00E63D8E" w:rsidRDefault="00E63D8E" w:rsidP="00E63D8E">
      <w:pPr>
        <w:pStyle w:val="Contributor"/>
      </w:pPr>
      <w:r>
        <w:t xml:space="preserve">Jane </w:t>
      </w:r>
      <w:proofErr w:type="spellStart"/>
      <w:r>
        <w:t>Ginn</w:t>
      </w:r>
      <w:proofErr w:type="spellEnd"/>
      <w:r>
        <w:t>,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 xml:space="preserve">David </w:t>
      </w:r>
      <w:proofErr w:type="spellStart"/>
      <w:r>
        <w:t>Eilken</w:t>
      </w:r>
      <w:proofErr w:type="spellEnd"/>
      <w:r>
        <w:t>,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proofErr w:type="spellStart"/>
      <w:r>
        <w:t>Ryusuke</w:t>
      </w:r>
      <w:proofErr w:type="spellEnd"/>
      <w:r>
        <w:t xml:space="preserve"> </w:t>
      </w:r>
      <w:proofErr w:type="spellStart"/>
      <w:r>
        <w:t>Masuoka</w:t>
      </w:r>
      <w:proofErr w:type="spellEnd"/>
      <w:r>
        <w:t>,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 xml:space="preserve">Paul Martini, </w:t>
      </w:r>
      <w:proofErr w:type="spellStart"/>
      <w:r>
        <w:t>iboss</w:t>
      </w:r>
      <w:proofErr w:type="spellEnd"/>
      <w:r>
        <w:t>, Inc.</w:t>
      </w:r>
    </w:p>
    <w:p w14:paraId="3D511228" w14:textId="77777777" w:rsidR="00E63D8E" w:rsidRDefault="00E63D8E" w:rsidP="00E63D8E">
      <w:pPr>
        <w:pStyle w:val="Contributor"/>
      </w:pPr>
      <w:r>
        <w:t xml:space="preserve">Jerome </w:t>
      </w:r>
      <w:proofErr w:type="spellStart"/>
      <w:r>
        <w:t>Athias</w:t>
      </w:r>
      <w:proofErr w:type="spellEnd"/>
      <w:r>
        <w:t>,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87E18D0" w14:textId="77777777" w:rsidR="00E63D8E" w:rsidRDefault="00E63D8E" w:rsidP="00E63D8E">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88A9922" w14:textId="77777777" w:rsidR="00E63D8E" w:rsidRDefault="00E63D8E" w:rsidP="00E63D8E">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821A8AF" w14:textId="77777777" w:rsidR="00E63D8E" w:rsidRDefault="00E63D8E" w:rsidP="00E63D8E">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E511AAA" w14:textId="77777777" w:rsidR="00E63D8E" w:rsidRDefault="00E63D8E" w:rsidP="00E63D8E">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78C478" w14:textId="77777777" w:rsidR="00E63D8E" w:rsidRDefault="00E63D8E" w:rsidP="00E63D8E">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 xml:space="preserve">Jon </w:t>
      </w:r>
      <w:proofErr w:type="spellStart"/>
      <w:r>
        <w:t>Salwen</w:t>
      </w:r>
      <w:proofErr w:type="spellEnd"/>
      <w:r>
        <w:t>,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 xml:space="preserve">Takahiro </w:t>
      </w:r>
      <w:proofErr w:type="spellStart"/>
      <w:r>
        <w:t>Kakumaru</w:t>
      </w:r>
      <w:proofErr w:type="spellEnd"/>
      <w:r>
        <w:t>,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 xml:space="preserve">John Tolbert, </w:t>
      </w:r>
      <w:proofErr w:type="spellStart"/>
      <w:r>
        <w:t>Queralt</w:t>
      </w:r>
      <w:proofErr w:type="spellEnd"/>
      <w:r>
        <w:t>, Inc.</w:t>
      </w:r>
    </w:p>
    <w:p w14:paraId="67207B9B" w14:textId="77777777" w:rsidR="00E63D8E" w:rsidRDefault="00E63D8E" w:rsidP="00E63D8E">
      <w:pPr>
        <w:pStyle w:val="Contributor"/>
      </w:pPr>
      <w:r>
        <w:t xml:space="preserve">Igor </w:t>
      </w:r>
      <w:proofErr w:type="spellStart"/>
      <w:r>
        <w:t>Baikalov</w:t>
      </w:r>
      <w:proofErr w:type="spellEnd"/>
      <w:r>
        <w:t xml:space="preserve">, </w:t>
      </w:r>
      <w:proofErr w:type="spellStart"/>
      <w:r>
        <w:t>Securonix</w:t>
      </w:r>
      <w:proofErr w:type="spellEnd"/>
    </w:p>
    <w:p w14:paraId="6432E863" w14:textId="77777777" w:rsidR="00E63D8E" w:rsidRDefault="00E63D8E" w:rsidP="00E63D8E">
      <w:pPr>
        <w:pStyle w:val="Contributor"/>
      </w:pPr>
      <w:r>
        <w:t xml:space="preserve">Bernd </w:t>
      </w:r>
      <w:proofErr w:type="spellStart"/>
      <w:r>
        <w:t>Grobauer</w:t>
      </w:r>
      <w:proofErr w:type="spellEnd"/>
      <w:r>
        <w:t>,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 xml:space="preserve">Cedric </w:t>
      </w:r>
      <w:proofErr w:type="spellStart"/>
      <w:r>
        <w:t>LeRoux</w:t>
      </w:r>
      <w:proofErr w:type="spellEnd"/>
      <w:r>
        <w:t>,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 xml:space="preserve">Crystal Hayes, </w:t>
      </w:r>
      <w:proofErr w:type="gramStart"/>
      <w:r>
        <w:t>The</w:t>
      </w:r>
      <w:proofErr w:type="gramEnd"/>
      <w:r>
        <w:t xml:space="preserv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 xml:space="preserve">Mona </w:t>
      </w:r>
      <w:proofErr w:type="spellStart"/>
      <w:r>
        <w:t>Magathan</w:t>
      </w:r>
      <w:proofErr w:type="spellEnd"/>
      <w:r>
        <w:t>,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43" w:name="_Toc85472898"/>
      <w:bookmarkStart w:id="144" w:name="_Toc287332014"/>
      <w:bookmarkStart w:id="145" w:name="_Toc431986035"/>
      <w:bookmarkStart w:id="146" w:name="_Toc444181992"/>
      <w:r>
        <w:lastRenderedPageBreak/>
        <w:t>Revision History</w:t>
      </w:r>
      <w:bookmarkEnd w:id="143"/>
      <w:bookmarkEnd w:id="144"/>
      <w:bookmarkEnd w:id="145"/>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6EF0A" w14:textId="77777777" w:rsidR="00F30A50" w:rsidRDefault="00F30A50" w:rsidP="008C100C">
      <w:r>
        <w:separator/>
      </w:r>
    </w:p>
    <w:p w14:paraId="1DAD1E8A" w14:textId="77777777" w:rsidR="00F30A50" w:rsidRDefault="00F30A50" w:rsidP="008C100C"/>
    <w:p w14:paraId="157947B0" w14:textId="77777777" w:rsidR="00F30A50" w:rsidRDefault="00F30A50" w:rsidP="008C100C"/>
    <w:p w14:paraId="68BFDD36" w14:textId="77777777" w:rsidR="00F30A50" w:rsidRDefault="00F30A50" w:rsidP="008C100C"/>
    <w:p w14:paraId="23965C40" w14:textId="77777777" w:rsidR="00F30A50" w:rsidRDefault="00F30A50" w:rsidP="008C100C"/>
    <w:p w14:paraId="5A5DD1D9" w14:textId="77777777" w:rsidR="00F30A50" w:rsidRDefault="00F30A50" w:rsidP="008C100C"/>
    <w:p w14:paraId="5C48606D" w14:textId="77777777" w:rsidR="00F30A50" w:rsidRDefault="00F30A50" w:rsidP="008C100C"/>
  </w:endnote>
  <w:endnote w:type="continuationSeparator" w:id="0">
    <w:p w14:paraId="4DFA86A2" w14:textId="77777777" w:rsidR="00F30A50" w:rsidRDefault="00F30A50" w:rsidP="008C100C">
      <w:r>
        <w:continuationSeparator/>
      </w:r>
    </w:p>
    <w:p w14:paraId="1F0BDE21" w14:textId="77777777" w:rsidR="00F30A50" w:rsidRDefault="00F30A50" w:rsidP="008C100C"/>
    <w:p w14:paraId="25555355" w14:textId="77777777" w:rsidR="00F30A50" w:rsidRDefault="00F30A50" w:rsidP="008C100C"/>
    <w:p w14:paraId="556AB852" w14:textId="77777777" w:rsidR="00F30A50" w:rsidRDefault="00F30A50" w:rsidP="008C100C"/>
    <w:p w14:paraId="7A2E16D3" w14:textId="77777777" w:rsidR="00F30A50" w:rsidRDefault="00F30A50" w:rsidP="008C100C"/>
    <w:p w14:paraId="552E9237" w14:textId="77777777" w:rsidR="00F30A50" w:rsidRDefault="00F30A50" w:rsidP="008C100C"/>
    <w:p w14:paraId="76AC21AB" w14:textId="77777777" w:rsidR="00F30A50" w:rsidRDefault="00F30A50" w:rsidP="008C100C"/>
  </w:endnote>
  <w:endnote w:type="continuationNotice" w:id="1">
    <w:p w14:paraId="4AC5E391" w14:textId="77777777" w:rsidR="00F30A50" w:rsidRDefault="00F30A50">
      <w:pPr>
        <w:spacing w:before="0" w:after="0"/>
      </w:pPr>
    </w:p>
  </w:endnote>
  <w:endnote w:id="2">
    <w:p w14:paraId="5D481A64" w14:textId="40E49A3B" w:rsidR="00C45E1A" w:rsidRDefault="00C45E1A">
      <w:pPr>
        <w:pStyle w:val="EndnoteText"/>
      </w:pPr>
      <w:r>
        <w:rPr>
          <w:rStyle w:val="EndnoteReference"/>
        </w:rPr>
        <w:endnoteRef/>
      </w:r>
      <w:r>
        <w:t xml:space="preserve"> </w:t>
      </w:r>
      <w:r w:rsidRPr="00B55BA3">
        <w:t xml:space="preserve">The </w:t>
      </w:r>
      <w:proofErr w:type="spellStart"/>
      <w:r w:rsidRPr="00B55BA3">
        <w:t>CybOX</w:t>
      </w:r>
      <w:r w:rsidR="001D5E0E">
        <w:rPr>
          <w:vertAlign w:val="superscript"/>
        </w:rPr>
        <w:t>TM</w:t>
      </w:r>
      <w:proofErr w:type="spellEnd"/>
      <w:r w:rsidRPr="00B55BA3">
        <w:t xml:space="preserve"> Observable data model is actually defined in the </w:t>
      </w:r>
      <w:hyperlink w:anchor="RelatedWork" w:history="1">
        <w:r w:rsidRPr="005B1403">
          <w:rPr>
            <w:rStyle w:val="Hyperlink"/>
          </w:rPr>
          <w:t>CybOX Language</w:t>
        </w:r>
      </w:hyperlink>
      <w:r w:rsidRPr="00B55BA3">
        <w:t>, not in STIX.</w:t>
      </w:r>
    </w:p>
  </w:endnote>
  <w:endnote w:id="3">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30A50">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30A50">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C0841" w14:textId="77777777" w:rsidR="00F30A50" w:rsidRDefault="00F30A50" w:rsidP="008C100C">
      <w:r>
        <w:separator/>
      </w:r>
    </w:p>
    <w:p w14:paraId="31658167" w14:textId="77777777" w:rsidR="00F30A50" w:rsidRDefault="00F30A50" w:rsidP="008C100C"/>
  </w:footnote>
  <w:footnote w:type="continuationSeparator" w:id="0">
    <w:p w14:paraId="1C51041D" w14:textId="77777777" w:rsidR="00F30A50" w:rsidRDefault="00F30A50" w:rsidP="008C100C">
      <w:r>
        <w:continuationSeparator/>
      </w:r>
    </w:p>
    <w:p w14:paraId="6B177E23" w14:textId="77777777" w:rsidR="00F30A50" w:rsidRDefault="00F30A50" w:rsidP="008C100C"/>
  </w:footnote>
  <w:footnote w:type="continuationNotice" w:id="1">
    <w:p w14:paraId="5F28F146" w14:textId="77777777" w:rsidR="00F30A50" w:rsidRDefault="00F30A50">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8C5C6" w14:textId="77777777" w:rsidR="00F30A50" w:rsidRDefault="00F30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95F"/>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D5E0E"/>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126D"/>
    <w:rsid w:val="00353EC5"/>
    <w:rsid w:val="003817AC"/>
    <w:rsid w:val="003A433A"/>
    <w:rsid w:val="003B0E37"/>
    <w:rsid w:val="003B60FC"/>
    <w:rsid w:val="003C18EF"/>
    <w:rsid w:val="003C61EA"/>
    <w:rsid w:val="003D1945"/>
    <w:rsid w:val="003F487C"/>
    <w:rsid w:val="004024F4"/>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6F79C7"/>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146E6"/>
    <w:rsid w:val="00A21132"/>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A2644"/>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2995"/>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87F46"/>
    <w:rsid w:val="00E9034C"/>
    <w:rsid w:val="00E947B6"/>
    <w:rsid w:val="00E950A1"/>
    <w:rsid w:val="00EC1016"/>
    <w:rsid w:val="00EC4D9D"/>
    <w:rsid w:val="00EC66AB"/>
    <w:rsid w:val="00EE32B1"/>
    <w:rsid w:val="00EE3C80"/>
    <w:rsid w:val="00EF5B8E"/>
    <w:rsid w:val="00F003C0"/>
    <w:rsid w:val="00F07E6A"/>
    <w:rsid w:val="00F10B93"/>
    <w:rsid w:val="00F30A50"/>
    <w:rsid w:val="00F34008"/>
    <w:rsid w:val="00F35D39"/>
    <w:rsid w:val="00F42E9A"/>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 w:type="paragraph" w:styleId="Revision">
    <w:name w:val="Revision"/>
    <w:hidden/>
    <w:uiPriority w:val="99"/>
    <w:semiHidden/>
    <w:rsid w:val="00F30A5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0823F-E3AA-4E7C-B4BE-D58C687D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81</TotalTime>
  <Pages>25</Pages>
  <Words>6903</Words>
  <Characters>39351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46162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2015-09-04T13:32:00Z</dcterms:created>
  <dcterms:modified xsi:type="dcterms:W3CDTF">2016-02-25T21:49:00Z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