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2538CB"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bookmarkStart w:id="2" w:name="_GoBack"/>
      <w:r w:rsidRPr="00F94051">
        <w:rPr>
          <w:i/>
        </w:rPr>
        <w:t>Extension</w:t>
      </w:r>
      <w:bookmarkEnd w:id="2"/>
      <w:r w:rsidRPr="00F94051">
        <w:rPr>
          <w:i/>
        </w:rPr>
        <w:t>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3" w:name="RelatedWork"/>
      <w:r>
        <w:t>Related work</w:t>
      </w:r>
      <w:bookmarkEnd w:id="3"/>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76A2495E" w14:textId="77777777" w:rsidR="005B5AA5" w:rsidRPr="0055035A" w:rsidRDefault="0012387E">
      <w:pPr>
        <w:pStyle w:val="TOC1"/>
        <w:rPr>
          <w:rFonts w:eastAsiaTheme="minorEastAsia" w:cstheme="minorBidi"/>
          <w:noProof/>
          <w:szCs w:val="22"/>
        </w:rPr>
      </w:pPr>
      <w:r>
        <w:fldChar w:fldCharType="begin"/>
      </w:r>
      <w:r>
        <w:instrText xml:space="preserve"> TOC \o "1-4" \h \z \u </w:instrText>
      </w:r>
      <w:r>
        <w:fldChar w:fldCharType="separate"/>
      </w:r>
      <w:hyperlink w:anchor="_Toc428534873" w:history="1">
        <w:r w:rsidR="005B5AA5" w:rsidRPr="00E808CE">
          <w:rPr>
            <w:rStyle w:val="Hyperlink"/>
            <w:noProof/>
          </w:rPr>
          <w:t>1</w:t>
        </w:r>
        <w:r w:rsidR="005B5AA5" w:rsidRPr="0055035A">
          <w:rPr>
            <w:rFonts w:eastAsiaTheme="minorEastAsia" w:cstheme="minorBidi"/>
            <w:noProof/>
            <w:szCs w:val="22"/>
          </w:rPr>
          <w:tab/>
        </w:r>
        <w:r w:rsidR="005B5AA5" w:rsidRPr="00E808CE">
          <w:rPr>
            <w:rStyle w:val="Hyperlink"/>
            <w:noProof/>
          </w:rPr>
          <w:t>Introduction</w:t>
        </w:r>
        <w:r w:rsidR="005B5AA5">
          <w:rPr>
            <w:noProof/>
            <w:webHidden/>
          </w:rPr>
          <w:tab/>
        </w:r>
        <w:r w:rsidR="005B5AA5">
          <w:rPr>
            <w:noProof/>
            <w:webHidden/>
          </w:rPr>
          <w:fldChar w:fldCharType="begin"/>
        </w:r>
        <w:r w:rsidR="005B5AA5">
          <w:rPr>
            <w:noProof/>
            <w:webHidden/>
          </w:rPr>
          <w:instrText xml:space="preserve"> PAGEREF _Toc428534873 \h </w:instrText>
        </w:r>
        <w:r w:rsidR="005B5AA5">
          <w:rPr>
            <w:noProof/>
            <w:webHidden/>
          </w:rPr>
        </w:r>
        <w:r w:rsidR="005B5AA5">
          <w:rPr>
            <w:noProof/>
            <w:webHidden/>
          </w:rPr>
          <w:fldChar w:fldCharType="separate"/>
        </w:r>
        <w:r w:rsidR="005B5AA5">
          <w:rPr>
            <w:noProof/>
            <w:webHidden/>
          </w:rPr>
          <w:t>4</w:t>
        </w:r>
        <w:r w:rsidR="005B5AA5">
          <w:rPr>
            <w:noProof/>
            <w:webHidden/>
          </w:rPr>
          <w:fldChar w:fldCharType="end"/>
        </w:r>
      </w:hyperlink>
    </w:p>
    <w:p w14:paraId="4AE59090" w14:textId="77777777" w:rsidR="005B5AA5" w:rsidRPr="0055035A" w:rsidRDefault="002538CB">
      <w:pPr>
        <w:pStyle w:val="TOC2"/>
        <w:tabs>
          <w:tab w:val="right" w:leader="dot" w:pos="9350"/>
        </w:tabs>
        <w:rPr>
          <w:rFonts w:eastAsiaTheme="minorEastAsia" w:cstheme="minorBidi"/>
          <w:noProof/>
          <w:szCs w:val="22"/>
        </w:rPr>
      </w:pPr>
      <w:hyperlink w:anchor="_Toc428534874" w:history="1">
        <w:r w:rsidR="005B5AA5" w:rsidRPr="00E808CE">
          <w:rPr>
            <w:rStyle w:val="Hyperlink"/>
            <w:noProof/>
          </w:rPr>
          <w:t>1.1 STIX Specification Documents</w:t>
        </w:r>
        <w:r w:rsidR="005B5AA5">
          <w:rPr>
            <w:noProof/>
            <w:webHidden/>
          </w:rPr>
          <w:tab/>
        </w:r>
        <w:r w:rsidR="005B5AA5">
          <w:rPr>
            <w:noProof/>
            <w:webHidden/>
          </w:rPr>
          <w:fldChar w:fldCharType="begin"/>
        </w:r>
        <w:r w:rsidR="005B5AA5">
          <w:rPr>
            <w:noProof/>
            <w:webHidden/>
          </w:rPr>
          <w:instrText xml:space="preserve"> PAGEREF _Toc428534874 \h </w:instrText>
        </w:r>
        <w:r w:rsidR="005B5AA5">
          <w:rPr>
            <w:noProof/>
            <w:webHidden/>
          </w:rPr>
        </w:r>
        <w:r w:rsidR="005B5AA5">
          <w:rPr>
            <w:noProof/>
            <w:webHidden/>
          </w:rPr>
          <w:fldChar w:fldCharType="separate"/>
        </w:r>
        <w:r w:rsidR="005B5AA5">
          <w:rPr>
            <w:noProof/>
            <w:webHidden/>
          </w:rPr>
          <w:t>4</w:t>
        </w:r>
        <w:r w:rsidR="005B5AA5">
          <w:rPr>
            <w:noProof/>
            <w:webHidden/>
          </w:rPr>
          <w:fldChar w:fldCharType="end"/>
        </w:r>
      </w:hyperlink>
    </w:p>
    <w:p w14:paraId="63E7B010" w14:textId="77777777" w:rsidR="005B5AA5" w:rsidRPr="0055035A" w:rsidRDefault="002538CB">
      <w:pPr>
        <w:pStyle w:val="TOC2"/>
        <w:tabs>
          <w:tab w:val="right" w:leader="dot" w:pos="9350"/>
        </w:tabs>
        <w:rPr>
          <w:rFonts w:eastAsiaTheme="minorEastAsia" w:cstheme="minorBidi"/>
          <w:noProof/>
          <w:szCs w:val="22"/>
        </w:rPr>
      </w:pPr>
      <w:hyperlink w:anchor="_Toc428534875" w:history="1">
        <w:r w:rsidR="005B5AA5" w:rsidRPr="00E808CE">
          <w:rPr>
            <w:rStyle w:val="Hyperlink"/>
            <w:noProof/>
          </w:rPr>
          <w:t>1.2 Document Conventions</w:t>
        </w:r>
        <w:r w:rsidR="005B5AA5">
          <w:rPr>
            <w:noProof/>
            <w:webHidden/>
          </w:rPr>
          <w:tab/>
        </w:r>
        <w:r w:rsidR="005B5AA5">
          <w:rPr>
            <w:noProof/>
            <w:webHidden/>
          </w:rPr>
          <w:fldChar w:fldCharType="begin"/>
        </w:r>
        <w:r w:rsidR="005B5AA5">
          <w:rPr>
            <w:noProof/>
            <w:webHidden/>
          </w:rPr>
          <w:instrText xml:space="preserve"> PAGEREF _Toc428534875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4A5A4827" w14:textId="77777777" w:rsidR="005B5AA5" w:rsidRPr="0055035A" w:rsidRDefault="002538CB">
      <w:pPr>
        <w:pStyle w:val="TOC3"/>
        <w:tabs>
          <w:tab w:val="right" w:leader="dot" w:pos="9350"/>
        </w:tabs>
        <w:rPr>
          <w:rFonts w:eastAsiaTheme="minorEastAsia" w:cstheme="minorBidi"/>
          <w:noProof/>
          <w:szCs w:val="22"/>
        </w:rPr>
      </w:pPr>
      <w:hyperlink w:anchor="_Toc428534876" w:history="1">
        <w:r w:rsidR="005B5AA5" w:rsidRPr="00E808CE">
          <w:rPr>
            <w:rStyle w:val="Hyperlink"/>
            <w:noProof/>
          </w:rPr>
          <w:t>1.2.1 Fonts</w:t>
        </w:r>
        <w:r w:rsidR="005B5AA5">
          <w:rPr>
            <w:noProof/>
            <w:webHidden/>
          </w:rPr>
          <w:tab/>
        </w:r>
        <w:r w:rsidR="005B5AA5">
          <w:rPr>
            <w:noProof/>
            <w:webHidden/>
          </w:rPr>
          <w:fldChar w:fldCharType="begin"/>
        </w:r>
        <w:r w:rsidR="005B5AA5">
          <w:rPr>
            <w:noProof/>
            <w:webHidden/>
          </w:rPr>
          <w:instrText xml:space="preserve"> PAGEREF _Toc428534876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048EE10E" w14:textId="77777777" w:rsidR="005B5AA5" w:rsidRPr="0055035A" w:rsidRDefault="002538CB">
      <w:pPr>
        <w:pStyle w:val="TOC3"/>
        <w:tabs>
          <w:tab w:val="right" w:leader="dot" w:pos="9350"/>
        </w:tabs>
        <w:rPr>
          <w:rFonts w:eastAsiaTheme="minorEastAsia" w:cstheme="minorBidi"/>
          <w:noProof/>
          <w:szCs w:val="22"/>
        </w:rPr>
      </w:pPr>
      <w:hyperlink w:anchor="_Toc428534877" w:history="1">
        <w:r w:rsidR="005B5AA5" w:rsidRPr="00E808CE">
          <w:rPr>
            <w:rStyle w:val="Hyperlink"/>
            <w:noProof/>
          </w:rPr>
          <w:t>1.2.2 UML Package References</w:t>
        </w:r>
        <w:r w:rsidR="005B5AA5">
          <w:rPr>
            <w:noProof/>
            <w:webHidden/>
          </w:rPr>
          <w:tab/>
        </w:r>
        <w:r w:rsidR="005B5AA5">
          <w:rPr>
            <w:noProof/>
            <w:webHidden/>
          </w:rPr>
          <w:fldChar w:fldCharType="begin"/>
        </w:r>
        <w:r w:rsidR="005B5AA5">
          <w:rPr>
            <w:noProof/>
            <w:webHidden/>
          </w:rPr>
          <w:instrText xml:space="preserve"> PAGEREF _Toc428534877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785C843D" w14:textId="77777777" w:rsidR="005B5AA5" w:rsidRPr="0055035A" w:rsidRDefault="002538CB">
      <w:pPr>
        <w:pStyle w:val="TOC3"/>
        <w:tabs>
          <w:tab w:val="right" w:leader="dot" w:pos="9350"/>
        </w:tabs>
        <w:rPr>
          <w:rFonts w:eastAsiaTheme="minorEastAsia" w:cstheme="minorBidi"/>
          <w:noProof/>
          <w:szCs w:val="22"/>
        </w:rPr>
      </w:pPr>
      <w:hyperlink w:anchor="_Toc428534878" w:history="1">
        <w:r w:rsidR="005B5AA5" w:rsidRPr="00E808CE">
          <w:rPr>
            <w:rStyle w:val="Hyperlink"/>
            <w:noProof/>
          </w:rPr>
          <w:t>1.2.3 UML Diagrams</w:t>
        </w:r>
        <w:r w:rsidR="005B5AA5">
          <w:rPr>
            <w:noProof/>
            <w:webHidden/>
          </w:rPr>
          <w:tab/>
        </w:r>
        <w:r w:rsidR="005B5AA5">
          <w:rPr>
            <w:noProof/>
            <w:webHidden/>
          </w:rPr>
          <w:fldChar w:fldCharType="begin"/>
        </w:r>
        <w:r w:rsidR="005B5AA5">
          <w:rPr>
            <w:noProof/>
            <w:webHidden/>
          </w:rPr>
          <w:instrText xml:space="preserve"> PAGEREF _Toc428534878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104A142B" w14:textId="77777777" w:rsidR="005B5AA5" w:rsidRPr="0055035A" w:rsidRDefault="002538CB">
      <w:pPr>
        <w:pStyle w:val="TOC4"/>
        <w:tabs>
          <w:tab w:val="right" w:leader="dot" w:pos="9350"/>
        </w:tabs>
        <w:rPr>
          <w:rFonts w:eastAsiaTheme="minorEastAsia" w:cstheme="minorBidi"/>
          <w:noProof/>
          <w:sz w:val="20"/>
          <w:szCs w:val="22"/>
        </w:rPr>
      </w:pPr>
      <w:hyperlink w:anchor="_Toc428534879" w:history="1">
        <w:r w:rsidR="005B5AA5" w:rsidRPr="00E808CE">
          <w:rPr>
            <w:rStyle w:val="Hyperlink"/>
            <w:noProof/>
          </w:rPr>
          <w:t>1.2.3.1 Class Properties</w:t>
        </w:r>
        <w:r w:rsidR="005B5AA5">
          <w:rPr>
            <w:noProof/>
            <w:webHidden/>
          </w:rPr>
          <w:tab/>
        </w:r>
        <w:r w:rsidR="005B5AA5">
          <w:rPr>
            <w:noProof/>
            <w:webHidden/>
          </w:rPr>
          <w:fldChar w:fldCharType="begin"/>
        </w:r>
        <w:r w:rsidR="005B5AA5">
          <w:rPr>
            <w:noProof/>
            <w:webHidden/>
          </w:rPr>
          <w:instrText xml:space="preserve"> PAGEREF _Toc428534879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04F480C7" w14:textId="77777777" w:rsidR="005B5AA5" w:rsidRPr="0055035A" w:rsidRDefault="002538CB">
      <w:pPr>
        <w:pStyle w:val="TOC4"/>
        <w:tabs>
          <w:tab w:val="right" w:leader="dot" w:pos="9350"/>
        </w:tabs>
        <w:rPr>
          <w:rFonts w:eastAsiaTheme="minorEastAsia" w:cstheme="minorBidi"/>
          <w:noProof/>
          <w:sz w:val="20"/>
          <w:szCs w:val="22"/>
        </w:rPr>
      </w:pPr>
      <w:hyperlink w:anchor="_Toc428534880" w:history="1">
        <w:r w:rsidR="005B5AA5" w:rsidRPr="00E808CE">
          <w:rPr>
            <w:rStyle w:val="Hyperlink"/>
            <w:noProof/>
          </w:rPr>
          <w:t>1.2.3.2 Diagram Icons and Arrow Types</w:t>
        </w:r>
        <w:r w:rsidR="005B5AA5">
          <w:rPr>
            <w:noProof/>
            <w:webHidden/>
          </w:rPr>
          <w:tab/>
        </w:r>
        <w:r w:rsidR="005B5AA5">
          <w:rPr>
            <w:noProof/>
            <w:webHidden/>
          </w:rPr>
          <w:fldChar w:fldCharType="begin"/>
        </w:r>
        <w:r w:rsidR="005B5AA5">
          <w:rPr>
            <w:noProof/>
            <w:webHidden/>
          </w:rPr>
          <w:instrText xml:space="preserve"> PAGEREF _Toc428534880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32FD0CE3" w14:textId="77777777" w:rsidR="005B5AA5" w:rsidRPr="0055035A" w:rsidRDefault="002538CB">
      <w:pPr>
        <w:pStyle w:val="TOC4"/>
        <w:tabs>
          <w:tab w:val="right" w:leader="dot" w:pos="9350"/>
        </w:tabs>
        <w:rPr>
          <w:rFonts w:eastAsiaTheme="minorEastAsia" w:cstheme="minorBidi"/>
          <w:noProof/>
          <w:sz w:val="20"/>
          <w:szCs w:val="22"/>
        </w:rPr>
      </w:pPr>
      <w:hyperlink w:anchor="_Toc428534881" w:history="1">
        <w:r w:rsidR="005B5AA5" w:rsidRPr="00E808CE">
          <w:rPr>
            <w:rStyle w:val="Hyperlink"/>
            <w:noProof/>
          </w:rPr>
          <w:t>1.2.3.3 Color Coding</w:t>
        </w:r>
        <w:r w:rsidR="005B5AA5">
          <w:rPr>
            <w:noProof/>
            <w:webHidden/>
          </w:rPr>
          <w:tab/>
        </w:r>
        <w:r w:rsidR="005B5AA5">
          <w:rPr>
            <w:noProof/>
            <w:webHidden/>
          </w:rPr>
          <w:fldChar w:fldCharType="begin"/>
        </w:r>
        <w:r w:rsidR="005B5AA5">
          <w:rPr>
            <w:noProof/>
            <w:webHidden/>
          </w:rPr>
          <w:instrText xml:space="preserve"> PAGEREF _Toc428534881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0E43BF4" w14:textId="77777777" w:rsidR="005B5AA5" w:rsidRPr="0055035A" w:rsidRDefault="002538CB">
      <w:pPr>
        <w:pStyle w:val="TOC3"/>
        <w:tabs>
          <w:tab w:val="right" w:leader="dot" w:pos="9350"/>
        </w:tabs>
        <w:rPr>
          <w:rFonts w:eastAsiaTheme="minorEastAsia" w:cstheme="minorBidi"/>
          <w:noProof/>
          <w:szCs w:val="22"/>
        </w:rPr>
      </w:pPr>
      <w:hyperlink w:anchor="_Toc428534882" w:history="1">
        <w:r w:rsidR="005B5AA5" w:rsidRPr="00E808CE">
          <w:rPr>
            <w:rStyle w:val="Hyperlink"/>
            <w:noProof/>
          </w:rPr>
          <w:t>1.2.4 Property Table Notation</w:t>
        </w:r>
        <w:r w:rsidR="005B5AA5">
          <w:rPr>
            <w:noProof/>
            <w:webHidden/>
          </w:rPr>
          <w:tab/>
        </w:r>
        <w:r w:rsidR="005B5AA5">
          <w:rPr>
            <w:noProof/>
            <w:webHidden/>
          </w:rPr>
          <w:fldChar w:fldCharType="begin"/>
        </w:r>
        <w:r w:rsidR="005B5AA5">
          <w:rPr>
            <w:noProof/>
            <w:webHidden/>
          </w:rPr>
          <w:instrText xml:space="preserve"> PAGEREF _Toc428534882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EDCD12A" w14:textId="77777777" w:rsidR="005B5AA5" w:rsidRPr="0055035A" w:rsidRDefault="002538CB">
      <w:pPr>
        <w:pStyle w:val="TOC3"/>
        <w:tabs>
          <w:tab w:val="right" w:leader="dot" w:pos="9350"/>
        </w:tabs>
        <w:rPr>
          <w:rFonts w:eastAsiaTheme="minorEastAsia" w:cstheme="minorBidi"/>
          <w:noProof/>
          <w:szCs w:val="22"/>
        </w:rPr>
      </w:pPr>
      <w:hyperlink w:anchor="_Toc428534883" w:history="1">
        <w:r w:rsidR="005B5AA5" w:rsidRPr="00E808CE">
          <w:rPr>
            <w:rStyle w:val="Hyperlink"/>
            <w:noProof/>
          </w:rPr>
          <w:t>1.2.5 Property and Class Descriptions</w:t>
        </w:r>
        <w:r w:rsidR="005B5AA5">
          <w:rPr>
            <w:noProof/>
            <w:webHidden/>
          </w:rPr>
          <w:tab/>
        </w:r>
        <w:r w:rsidR="005B5AA5">
          <w:rPr>
            <w:noProof/>
            <w:webHidden/>
          </w:rPr>
          <w:fldChar w:fldCharType="begin"/>
        </w:r>
        <w:r w:rsidR="005B5AA5">
          <w:rPr>
            <w:noProof/>
            <w:webHidden/>
          </w:rPr>
          <w:instrText xml:space="preserve"> PAGEREF _Toc428534883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85103B6" w14:textId="77777777" w:rsidR="005B5AA5" w:rsidRPr="0055035A" w:rsidRDefault="002538CB">
      <w:pPr>
        <w:pStyle w:val="TOC2"/>
        <w:tabs>
          <w:tab w:val="right" w:leader="dot" w:pos="9350"/>
        </w:tabs>
        <w:rPr>
          <w:rFonts w:eastAsiaTheme="minorEastAsia" w:cstheme="minorBidi"/>
          <w:noProof/>
          <w:szCs w:val="22"/>
        </w:rPr>
      </w:pPr>
      <w:hyperlink w:anchor="_Toc428534884" w:history="1">
        <w:r w:rsidR="005B5AA5" w:rsidRPr="00E808CE">
          <w:rPr>
            <w:rStyle w:val="Hyperlink"/>
            <w:noProof/>
          </w:rPr>
          <w:t>1.3 Terminology</w:t>
        </w:r>
        <w:r w:rsidR="005B5AA5">
          <w:rPr>
            <w:noProof/>
            <w:webHidden/>
          </w:rPr>
          <w:tab/>
        </w:r>
        <w:r w:rsidR="005B5AA5">
          <w:rPr>
            <w:noProof/>
            <w:webHidden/>
          </w:rPr>
          <w:fldChar w:fldCharType="begin"/>
        </w:r>
        <w:r w:rsidR="005B5AA5">
          <w:rPr>
            <w:noProof/>
            <w:webHidden/>
          </w:rPr>
          <w:instrText xml:space="preserve"> PAGEREF _Toc428534884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17083396" w14:textId="77777777" w:rsidR="005B5AA5" w:rsidRPr="0055035A" w:rsidRDefault="002538CB">
      <w:pPr>
        <w:pStyle w:val="TOC2"/>
        <w:tabs>
          <w:tab w:val="right" w:leader="dot" w:pos="9350"/>
        </w:tabs>
        <w:rPr>
          <w:rFonts w:eastAsiaTheme="minorEastAsia" w:cstheme="minorBidi"/>
          <w:noProof/>
          <w:szCs w:val="22"/>
        </w:rPr>
      </w:pPr>
      <w:hyperlink w:anchor="_Toc428534885" w:history="1">
        <w:r w:rsidR="005B5AA5" w:rsidRPr="00E808CE">
          <w:rPr>
            <w:rStyle w:val="Hyperlink"/>
            <w:noProof/>
          </w:rPr>
          <w:t>1.4 Normative References</w:t>
        </w:r>
        <w:r w:rsidR="005B5AA5">
          <w:rPr>
            <w:noProof/>
            <w:webHidden/>
          </w:rPr>
          <w:tab/>
        </w:r>
        <w:r w:rsidR="005B5AA5">
          <w:rPr>
            <w:noProof/>
            <w:webHidden/>
          </w:rPr>
          <w:fldChar w:fldCharType="begin"/>
        </w:r>
        <w:r w:rsidR="005B5AA5">
          <w:rPr>
            <w:noProof/>
            <w:webHidden/>
          </w:rPr>
          <w:instrText xml:space="preserve"> PAGEREF _Toc428534885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30AFCC7F" w14:textId="77777777" w:rsidR="005B5AA5" w:rsidRPr="0055035A" w:rsidRDefault="002538CB">
      <w:pPr>
        <w:pStyle w:val="TOC2"/>
        <w:tabs>
          <w:tab w:val="right" w:leader="dot" w:pos="9350"/>
        </w:tabs>
        <w:rPr>
          <w:rFonts w:eastAsiaTheme="minorEastAsia" w:cstheme="minorBidi"/>
          <w:noProof/>
          <w:szCs w:val="22"/>
        </w:rPr>
      </w:pPr>
      <w:hyperlink w:anchor="_Toc428534886" w:history="1">
        <w:r w:rsidR="005B5AA5" w:rsidRPr="00E808CE">
          <w:rPr>
            <w:rStyle w:val="Hyperlink"/>
            <w:noProof/>
          </w:rPr>
          <w:t>1.5 Non-Normative References</w:t>
        </w:r>
        <w:r w:rsidR="005B5AA5">
          <w:rPr>
            <w:noProof/>
            <w:webHidden/>
          </w:rPr>
          <w:tab/>
        </w:r>
        <w:r w:rsidR="005B5AA5">
          <w:rPr>
            <w:noProof/>
            <w:webHidden/>
          </w:rPr>
          <w:fldChar w:fldCharType="begin"/>
        </w:r>
        <w:r w:rsidR="005B5AA5">
          <w:rPr>
            <w:noProof/>
            <w:webHidden/>
          </w:rPr>
          <w:instrText xml:space="preserve"> PAGEREF _Toc428534886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6344F728" w14:textId="77777777" w:rsidR="005B5AA5" w:rsidRPr="0055035A" w:rsidRDefault="002538CB">
      <w:pPr>
        <w:pStyle w:val="TOC1"/>
        <w:rPr>
          <w:rFonts w:eastAsiaTheme="minorEastAsia" w:cstheme="minorBidi"/>
          <w:noProof/>
          <w:szCs w:val="22"/>
        </w:rPr>
      </w:pPr>
      <w:hyperlink w:anchor="_Toc428534887" w:history="1">
        <w:r w:rsidR="005B5AA5" w:rsidRPr="00E808CE">
          <w:rPr>
            <w:rStyle w:val="Hyperlink"/>
            <w:noProof/>
          </w:rPr>
          <w:t>2</w:t>
        </w:r>
        <w:r w:rsidR="005B5AA5" w:rsidRPr="0055035A">
          <w:rPr>
            <w:rFonts w:eastAsiaTheme="minorEastAsia" w:cstheme="minorBidi"/>
            <w:noProof/>
            <w:szCs w:val="22"/>
          </w:rPr>
          <w:tab/>
        </w:r>
        <w:r w:rsidR="005B5AA5" w:rsidRPr="00E808CE">
          <w:rPr>
            <w:rStyle w:val="Hyperlink"/>
            <w:noProof/>
          </w:rPr>
          <w:t>Background Information</w:t>
        </w:r>
        <w:r w:rsidR="005B5AA5">
          <w:rPr>
            <w:noProof/>
            <w:webHidden/>
          </w:rPr>
          <w:tab/>
        </w:r>
        <w:r w:rsidR="005B5AA5">
          <w:rPr>
            <w:noProof/>
            <w:webHidden/>
          </w:rPr>
          <w:fldChar w:fldCharType="begin"/>
        </w:r>
        <w:r w:rsidR="005B5AA5">
          <w:rPr>
            <w:noProof/>
            <w:webHidden/>
          </w:rPr>
          <w:instrText xml:space="preserve"> PAGEREF _Toc428534887 \h </w:instrText>
        </w:r>
        <w:r w:rsidR="005B5AA5">
          <w:rPr>
            <w:noProof/>
            <w:webHidden/>
          </w:rPr>
        </w:r>
        <w:r w:rsidR="005B5AA5">
          <w:rPr>
            <w:noProof/>
            <w:webHidden/>
          </w:rPr>
          <w:fldChar w:fldCharType="separate"/>
        </w:r>
        <w:r w:rsidR="005B5AA5">
          <w:rPr>
            <w:noProof/>
            <w:webHidden/>
          </w:rPr>
          <w:t>9</w:t>
        </w:r>
        <w:r w:rsidR="005B5AA5">
          <w:rPr>
            <w:noProof/>
            <w:webHidden/>
          </w:rPr>
          <w:fldChar w:fldCharType="end"/>
        </w:r>
      </w:hyperlink>
    </w:p>
    <w:p w14:paraId="67CA9D42" w14:textId="77777777" w:rsidR="005B5AA5" w:rsidRPr="0055035A" w:rsidRDefault="002538CB">
      <w:pPr>
        <w:pStyle w:val="TOC2"/>
        <w:tabs>
          <w:tab w:val="right" w:leader="dot" w:pos="9350"/>
        </w:tabs>
        <w:rPr>
          <w:rFonts w:eastAsiaTheme="minorEastAsia" w:cstheme="minorBidi"/>
          <w:noProof/>
          <w:szCs w:val="22"/>
        </w:rPr>
      </w:pPr>
      <w:hyperlink w:anchor="_Toc428534888" w:history="1">
        <w:r w:rsidR="005B5AA5" w:rsidRPr="00E808CE">
          <w:rPr>
            <w:rStyle w:val="Hyperlink"/>
            <w:noProof/>
          </w:rPr>
          <w:t>2.1 Indicator-Related Component Data Models</w:t>
        </w:r>
        <w:r w:rsidR="005B5AA5">
          <w:rPr>
            <w:noProof/>
            <w:webHidden/>
          </w:rPr>
          <w:tab/>
        </w:r>
        <w:r w:rsidR="005B5AA5">
          <w:rPr>
            <w:noProof/>
            <w:webHidden/>
          </w:rPr>
          <w:fldChar w:fldCharType="begin"/>
        </w:r>
        <w:r w:rsidR="005B5AA5">
          <w:rPr>
            <w:noProof/>
            <w:webHidden/>
          </w:rPr>
          <w:instrText xml:space="preserve"> PAGEREF _Toc428534888 \h </w:instrText>
        </w:r>
        <w:r w:rsidR="005B5AA5">
          <w:rPr>
            <w:noProof/>
            <w:webHidden/>
          </w:rPr>
        </w:r>
        <w:r w:rsidR="005B5AA5">
          <w:rPr>
            <w:noProof/>
            <w:webHidden/>
          </w:rPr>
          <w:fldChar w:fldCharType="separate"/>
        </w:r>
        <w:r w:rsidR="005B5AA5">
          <w:rPr>
            <w:noProof/>
            <w:webHidden/>
          </w:rPr>
          <w:t>9</w:t>
        </w:r>
        <w:r w:rsidR="005B5AA5">
          <w:rPr>
            <w:noProof/>
            <w:webHidden/>
          </w:rPr>
          <w:fldChar w:fldCharType="end"/>
        </w:r>
      </w:hyperlink>
    </w:p>
    <w:p w14:paraId="62FFE41C" w14:textId="77777777" w:rsidR="005B5AA5" w:rsidRPr="0055035A" w:rsidRDefault="002538CB">
      <w:pPr>
        <w:pStyle w:val="TOC2"/>
        <w:tabs>
          <w:tab w:val="right" w:leader="dot" w:pos="9350"/>
        </w:tabs>
        <w:rPr>
          <w:rFonts w:eastAsiaTheme="minorEastAsia" w:cstheme="minorBidi"/>
          <w:noProof/>
          <w:szCs w:val="22"/>
        </w:rPr>
      </w:pPr>
      <w:hyperlink w:anchor="_Toc428534889" w:history="1">
        <w:r w:rsidR="005B5AA5" w:rsidRPr="00E808CE">
          <w:rPr>
            <w:rStyle w:val="Hyperlink"/>
            <w:noProof/>
          </w:rPr>
          <w:t>2.2 Indicator Patterns</w:t>
        </w:r>
        <w:r w:rsidR="005B5AA5">
          <w:rPr>
            <w:noProof/>
            <w:webHidden/>
          </w:rPr>
          <w:tab/>
        </w:r>
        <w:r w:rsidR="005B5AA5">
          <w:rPr>
            <w:noProof/>
            <w:webHidden/>
          </w:rPr>
          <w:fldChar w:fldCharType="begin"/>
        </w:r>
        <w:r w:rsidR="005B5AA5">
          <w:rPr>
            <w:noProof/>
            <w:webHidden/>
          </w:rPr>
          <w:instrText xml:space="preserve"> PAGEREF _Toc428534889 \h </w:instrText>
        </w:r>
        <w:r w:rsidR="005B5AA5">
          <w:rPr>
            <w:noProof/>
            <w:webHidden/>
          </w:rPr>
        </w:r>
        <w:r w:rsidR="005B5AA5">
          <w:rPr>
            <w:noProof/>
            <w:webHidden/>
          </w:rPr>
          <w:fldChar w:fldCharType="separate"/>
        </w:r>
        <w:r w:rsidR="005B5AA5">
          <w:rPr>
            <w:noProof/>
            <w:webHidden/>
          </w:rPr>
          <w:t>10</w:t>
        </w:r>
        <w:r w:rsidR="005B5AA5">
          <w:rPr>
            <w:noProof/>
            <w:webHidden/>
          </w:rPr>
          <w:fldChar w:fldCharType="end"/>
        </w:r>
      </w:hyperlink>
    </w:p>
    <w:p w14:paraId="0DDEFF09" w14:textId="77777777" w:rsidR="005B5AA5" w:rsidRPr="0055035A" w:rsidRDefault="002538CB">
      <w:pPr>
        <w:pStyle w:val="TOC3"/>
        <w:tabs>
          <w:tab w:val="right" w:leader="dot" w:pos="9350"/>
        </w:tabs>
        <w:rPr>
          <w:rFonts w:eastAsiaTheme="minorEastAsia" w:cstheme="minorBidi"/>
          <w:noProof/>
          <w:szCs w:val="22"/>
        </w:rPr>
      </w:pPr>
      <w:hyperlink w:anchor="_Toc428534890" w:history="1">
        <w:r w:rsidR="005B5AA5" w:rsidRPr="00E808CE">
          <w:rPr>
            <w:rStyle w:val="Hyperlink"/>
            <w:noProof/>
          </w:rPr>
          <w:t>2.2.1 CybOX Observables</w:t>
        </w:r>
        <w:r w:rsidR="005B5AA5">
          <w:rPr>
            <w:noProof/>
            <w:webHidden/>
          </w:rPr>
          <w:tab/>
        </w:r>
        <w:r w:rsidR="005B5AA5">
          <w:rPr>
            <w:noProof/>
            <w:webHidden/>
          </w:rPr>
          <w:fldChar w:fldCharType="begin"/>
        </w:r>
        <w:r w:rsidR="005B5AA5">
          <w:rPr>
            <w:noProof/>
            <w:webHidden/>
          </w:rPr>
          <w:instrText xml:space="preserve"> PAGEREF _Toc428534890 \h </w:instrText>
        </w:r>
        <w:r w:rsidR="005B5AA5">
          <w:rPr>
            <w:noProof/>
            <w:webHidden/>
          </w:rPr>
        </w:r>
        <w:r w:rsidR="005B5AA5">
          <w:rPr>
            <w:noProof/>
            <w:webHidden/>
          </w:rPr>
          <w:fldChar w:fldCharType="separate"/>
        </w:r>
        <w:r w:rsidR="005B5AA5">
          <w:rPr>
            <w:noProof/>
            <w:webHidden/>
          </w:rPr>
          <w:t>11</w:t>
        </w:r>
        <w:r w:rsidR="005B5AA5">
          <w:rPr>
            <w:noProof/>
            <w:webHidden/>
          </w:rPr>
          <w:fldChar w:fldCharType="end"/>
        </w:r>
      </w:hyperlink>
    </w:p>
    <w:p w14:paraId="3EEAAF39" w14:textId="77777777" w:rsidR="005B5AA5" w:rsidRPr="0055035A" w:rsidRDefault="002538CB">
      <w:pPr>
        <w:pStyle w:val="TOC2"/>
        <w:tabs>
          <w:tab w:val="right" w:leader="dot" w:pos="9350"/>
        </w:tabs>
        <w:rPr>
          <w:rFonts w:eastAsiaTheme="minorEastAsia" w:cstheme="minorBidi"/>
          <w:noProof/>
          <w:szCs w:val="22"/>
        </w:rPr>
      </w:pPr>
      <w:hyperlink w:anchor="_Toc428534891" w:history="1">
        <w:r w:rsidR="005B5AA5" w:rsidRPr="00E808CE">
          <w:rPr>
            <w:rStyle w:val="Hyperlink"/>
            <w:noProof/>
          </w:rPr>
          <w:t>2.3 Simple and Composite Indicators</w:t>
        </w:r>
        <w:r w:rsidR="005B5AA5">
          <w:rPr>
            <w:noProof/>
            <w:webHidden/>
          </w:rPr>
          <w:tab/>
        </w:r>
        <w:r w:rsidR="005B5AA5">
          <w:rPr>
            <w:noProof/>
            <w:webHidden/>
          </w:rPr>
          <w:fldChar w:fldCharType="begin"/>
        </w:r>
        <w:r w:rsidR="005B5AA5">
          <w:rPr>
            <w:noProof/>
            <w:webHidden/>
          </w:rPr>
          <w:instrText xml:space="preserve"> PAGEREF _Toc428534891 \h </w:instrText>
        </w:r>
        <w:r w:rsidR="005B5AA5">
          <w:rPr>
            <w:noProof/>
            <w:webHidden/>
          </w:rPr>
        </w:r>
        <w:r w:rsidR="005B5AA5">
          <w:rPr>
            <w:noProof/>
            <w:webHidden/>
          </w:rPr>
          <w:fldChar w:fldCharType="separate"/>
        </w:r>
        <w:r w:rsidR="005B5AA5">
          <w:rPr>
            <w:noProof/>
            <w:webHidden/>
          </w:rPr>
          <w:t>11</w:t>
        </w:r>
        <w:r w:rsidR="005B5AA5">
          <w:rPr>
            <w:noProof/>
            <w:webHidden/>
          </w:rPr>
          <w:fldChar w:fldCharType="end"/>
        </w:r>
      </w:hyperlink>
    </w:p>
    <w:p w14:paraId="4C50E4F7" w14:textId="77777777" w:rsidR="005B5AA5" w:rsidRPr="0055035A" w:rsidRDefault="002538CB">
      <w:pPr>
        <w:pStyle w:val="TOC1"/>
        <w:rPr>
          <w:rFonts w:eastAsiaTheme="minorEastAsia" w:cstheme="minorBidi"/>
          <w:noProof/>
          <w:szCs w:val="22"/>
        </w:rPr>
      </w:pPr>
      <w:hyperlink w:anchor="_Toc428534892" w:history="1">
        <w:r w:rsidR="005B5AA5" w:rsidRPr="00E808CE">
          <w:rPr>
            <w:rStyle w:val="Hyperlink"/>
            <w:noProof/>
          </w:rPr>
          <w:t>3</w:t>
        </w:r>
        <w:r w:rsidR="005B5AA5" w:rsidRPr="0055035A">
          <w:rPr>
            <w:rFonts w:eastAsiaTheme="minorEastAsia" w:cstheme="minorBidi"/>
            <w:noProof/>
            <w:szCs w:val="22"/>
          </w:rPr>
          <w:tab/>
        </w:r>
        <w:r w:rsidR="005B5AA5" w:rsidRPr="00E808CE">
          <w:rPr>
            <w:rStyle w:val="Hyperlink"/>
            <w:noProof/>
          </w:rPr>
          <w:t>STIX Indicator Data Model</w:t>
        </w:r>
        <w:r w:rsidR="005B5AA5">
          <w:rPr>
            <w:noProof/>
            <w:webHidden/>
          </w:rPr>
          <w:tab/>
        </w:r>
        <w:r w:rsidR="005B5AA5">
          <w:rPr>
            <w:noProof/>
            <w:webHidden/>
          </w:rPr>
          <w:fldChar w:fldCharType="begin"/>
        </w:r>
        <w:r w:rsidR="005B5AA5">
          <w:rPr>
            <w:noProof/>
            <w:webHidden/>
          </w:rPr>
          <w:instrText xml:space="preserve"> PAGEREF _Toc428534892 \h </w:instrText>
        </w:r>
        <w:r w:rsidR="005B5AA5">
          <w:rPr>
            <w:noProof/>
            <w:webHidden/>
          </w:rPr>
        </w:r>
        <w:r w:rsidR="005B5AA5">
          <w:rPr>
            <w:noProof/>
            <w:webHidden/>
          </w:rPr>
          <w:fldChar w:fldCharType="separate"/>
        </w:r>
        <w:r w:rsidR="005B5AA5">
          <w:rPr>
            <w:noProof/>
            <w:webHidden/>
          </w:rPr>
          <w:t>13</w:t>
        </w:r>
        <w:r w:rsidR="005B5AA5">
          <w:rPr>
            <w:noProof/>
            <w:webHidden/>
          </w:rPr>
          <w:fldChar w:fldCharType="end"/>
        </w:r>
      </w:hyperlink>
    </w:p>
    <w:p w14:paraId="566CA79A" w14:textId="77777777" w:rsidR="005B5AA5" w:rsidRPr="0055035A" w:rsidRDefault="002538CB">
      <w:pPr>
        <w:pStyle w:val="TOC2"/>
        <w:tabs>
          <w:tab w:val="right" w:leader="dot" w:pos="9350"/>
        </w:tabs>
        <w:rPr>
          <w:rFonts w:eastAsiaTheme="minorEastAsia" w:cstheme="minorBidi"/>
          <w:noProof/>
          <w:szCs w:val="22"/>
        </w:rPr>
      </w:pPr>
      <w:hyperlink w:anchor="_Toc428534893" w:history="1">
        <w:r w:rsidR="005B5AA5" w:rsidRPr="00E808CE">
          <w:rPr>
            <w:rStyle w:val="Hyperlink"/>
            <w:noProof/>
          </w:rPr>
          <w:t>3.1 IndicatorVersionType Enumeration</w:t>
        </w:r>
        <w:r w:rsidR="005B5AA5">
          <w:rPr>
            <w:noProof/>
            <w:webHidden/>
          </w:rPr>
          <w:tab/>
        </w:r>
        <w:r w:rsidR="005B5AA5">
          <w:rPr>
            <w:noProof/>
            <w:webHidden/>
          </w:rPr>
          <w:fldChar w:fldCharType="begin"/>
        </w:r>
        <w:r w:rsidR="005B5AA5">
          <w:rPr>
            <w:noProof/>
            <w:webHidden/>
          </w:rPr>
          <w:instrText xml:space="preserve"> PAGEREF _Toc428534893 \h </w:instrText>
        </w:r>
        <w:r w:rsidR="005B5AA5">
          <w:rPr>
            <w:noProof/>
            <w:webHidden/>
          </w:rPr>
        </w:r>
        <w:r w:rsidR="005B5AA5">
          <w:rPr>
            <w:noProof/>
            <w:webHidden/>
          </w:rPr>
          <w:fldChar w:fldCharType="separate"/>
        </w:r>
        <w:r w:rsidR="005B5AA5">
          <w:rPr>
            <w:noProof/>
            <w:webHidden/>
          </w:rPr>
          <w:t>19</w:t>
        </w:r>
        <w:r w:rsidR="005B5AA5">
          <w:rPr>
            <w:noProof/>
            <w:webHidden/>
          </w:rPr>
          <w:fldChar w:fldCharType="end"/>
        </w:r>
      </w:hyperlink>
    </w:p>
    <w:p w14:paraId="2166B0EA" w14:textId="77777777" w:rsidR="005B5AA5" w:rsidRPr="0055035A" w:rsidRDefault="002538CB">
      <w:pPr>
        <w:pStyle w:val="TOC2"/>
        <w:tabs>
          <w:tab w:val="right" w:leader="dot" w:pos="9350"/>
        </w:tabs>
        <w:rPr>
          <w:rFonts w:eastAsiaTheme="minorEastAsia" w:cstheme="minorBidi"/>
          <w:noProof/>
          <w:szCs w:val="22"/>
        </w:rPr>
      </w:pPr>
      <w:hyperlink w:anchor="_Toc428534894" w:history="1">
        <w:r w:rsidR="005B5AA5" w:rsidRPr="00E808CE">
          <w:rPr>
            <w:rStyle w:val="Hyperlink"/>
            <w:noProof/>
          </w:rPr>
          <w:t>3.2 ValidTimeType Class</w:t>
        </w:r>
        <w:r w:rsidR="005B5AA5">
          <w:rPr>
            <w:noProof/>
            <w:webHidden/>
          </w:rPr>
          <w:tab/>
        </w:r>
        <w:r w:rsidR="005B5AA5">
          <w:rPr>
            <w:noProof/>
            <w:webHidden/>
          </w:rPr>
          <w:fldChar w:fldCharType="begin"/>
        </w:r>
        <w:r w:rsidR="005B5AA5">
          <w:rPr>
            <w:noProof/>
            <w:webHidden/>
          </w:rPr>
          <w:instrText xml:space="preserve"> PAGEREF _Toc428534894 \h </w:instrText>
        </w:r>
        <w:r w:rsidR="005B5AA5">
          <w:rPr>
            <w:noProof/>
            <w:webHidden/>
          </w:rPr>
        </w:r>
        <w:r w:rsidR="005B5AA5">
          <w:rPr>
            <w:noProof/>
            <w:webHidden/>
          </w:rPr>
          <w:fldChar w:fldCharType="separate"/>
        </w:r>
        <w:r w:rsidR="005B5AA5">
          <w:rPr>
            <w:noProof/>
            <w:webHidden/>
          </w:rPr>
          <w:t>20</w:t>
        </w:r>
        <w:r w:rsidR="005B5AA5">
          <w:rPr>
            <w:noProof/>
            <w:webHidden/>
          </w:rPr>
          <w:fldChar w:fldCharType="end"/>
        </w:r>
      </w:hyperlink>
    </w:p>
    <w:p w14:paraId="7B9DBF0C" w14:textId="77777777" w:rsidR="005B5AA5" w:rsidRPr="0055035A" w:rsidRDefault="002538CB">
      <w:pPr>
        <w:pStyle w:val="TOC2"/>
        <w:tabs>
          <w:tab w:val="right" w:leader="dot" w:pos="9350"/>
        </w:tabs>
        <w:rPr>
          <w:rFonts w:eastAsiaTheme="minorEastAsia" w:cstheme="minorBidi"/>
          <w:noProof/>
          <w:szCs w:val="22"/>
        </w:rPr>
      </w:pPr>
      <w:hyperlink w:anchor="_Toc428534895" w:history="1">
        <w:r w:rsidR="005B5AA5" w:rsidRPr="00E808CE">
          <w:rPr>
            <w:rStyle w:val="Hyperlink"/>
            <w:noProof/>
          </w:rPr>
          <w:t>3.3 CompositeIndicatorExpressionType Class</w:t>
        </w:r>
        <w:r w:rsidR="005B5AA5">
          <w:rPr>
            <w:noProof/>
            <w:webHidden/>
          </w:rPr>
          <w:tab/>
        </w:r>
        <w:r w:rsidR="005B5AA5">
          <w:rPr>
            <w:noProof/>
            <w:webHidden/>
          </w:rPr>
          <w:fldChar w:fldCharType="begin"/>
        </w:r>
        <w:r w:rsidR="005B5AA5">
          <w:rPr>
            <w:noProof/>
            <w:webHidden/>
          </w:rPr>
          <w:instrText xml:space="preserve"> PAGEREF _Toc428534895 \h </w:instrText>
        </w:r>
        <w:r w:rsidR="005B5AA5">
          <w:rPr>
            <w:noProof/>
            <w:webHidden/>
          </w:rPr>
        </w:r>
        <w:r w:rsidR="005B5AA5">
          <w:rPr>
            <w:noProof/>
            <w:webHidden/>
          </w:rPr>
          <w:fldChar w:fldCharType="separate"/>
        </w:r>
        <w:r w:rsidR="005B5AA5">
          <w:rPr>
            <w:noProof/>
            <w:webHidden/>
          </w:rPr>
          <w:t>21</w:t>
        </w:r>
        <w:r w:rsidR="005B5AA5">
          <w:rPr>
            <w:noProof/>
            <w:webHidden/>
          </w:rPr>
          <w:fldChar w:fldCharType="end"/>
        </w:r>
      </w:hyperlink>
    </w:p>
    <w:p w14:paraId="6DB7187B" w14:textId="77777777" w:rsidR="005B5AA5" w:rsidRPr="0055035A" w:rsidRDefault="002538CB">
      <w:pPr>
        <w:pStyle w:val="TOC3"/>
        <w:tabs>
          <w:tab w:val="right" w:leader="dot" w:pos="9350"/>
        </w:tabs>
        <w:rPr>
          <w:rFonts w:eastAsiaTheme="minorEastAsia" w:cstheme="minorBidi"/>
          <w:noProof/>
          <w:szCs w:val="22"/>
        </w:rPr>
      </w:pPr>
      <w:hyperlink w:anchor="_Toc428534896" w:history="1">
        <w:r w:rsidR="005B5AA5" w:rsidRPr="00E808CE">
          <w:rPr>
            <w:rStyle w:val="Hyperlink"/>
            <w:noProof/>
          </w:rPr>
          <w:t>3.3.1 OperatorTypeEnum Enumeration</w:t>
        </w:r>
        <w:r w:rsidR="005B5AA5">
          <w:rPr>
            <w:noProof/>
            <w:webHidden/>
          </w:rPr>
          <w:tab/>
        </w:r>
        <w:r w:rsidR="005B5AA5">
          <w:rPr>
            <w:noProof/>
            <w:webHidden/>
          </w:rPr>
          <w:fldChar w:fldCharType="begin"/>
        </w:r>
        <w:r w:rsidR="005B5AA5">
          <w:rPr>
            <w:noProof/>
            <w:webHidden/>
          </w:rPr>
          <w:instrText xml:space="preserve"> PAGEREF _Toc428534896 \h </w:instrText>
        </w:r>
        <w:r w:rsidR="005B5AA5">
          <w:rPr>
            <w:noProof/>
            <w:webHidden/>
          </w:rPr>
        </w:r>
        <w:r w:rsidR="005B5AA5">
          <w:rPr>
            <w:noProof/>
            <w:webHidden/>
          </w:rPr>
          <w:fldChar w:fldCharType="separate"/>
        </w:r>
        <w:r w:rsidR="005B5AA5">
          <w:rPr>
            <w:noProof/>
            <w:webHidden/>
          </w:rPr>
          <w:t>22</w:t>
        </w:r>
        <w:r w:rsidR="005B5AA5">
          <w:rPr>
            <w:noProof/>
            <w:webHidden/>
          </w:rPr>
          <w:fldChar w:fldCharType="end"/>
        </w:r>
      </w:hyperlink>
    </w:p>
    <w:p w14:paraId="243320E5" w14:textId="77777777" w:rsidR="005B5AA5" w:rsidRPr="0055035A" w:rsidRDefault="002538CB">
      <w:pPr>
        <w:pStyle w:val="TOC2"/>
        <w:tabs>
          <w:tab w:val="right" w:leader="dot" w:pos="9350"/>
        </w:tabs>
        <w:rPr>
          <w:rFonts w:eastAsiaTheme="minorEastAsia" w:cstheme="minorBidi"/>
          <w:noProof/>
          <w:szCs w:val="22"/>
        </w:rPr>
      </w:pPr>
      <w:hyperlink w:anchor="_Toc428534897" w:history="1">
        <w:r w:rsidR="005B5AA5" w:rsidRPr="00E808CE">
          <w:rPr>
            <w:rStyle w:val="Hyperlink"/>
            <w:noProof/>
          </w:rPr>
          <w:t>3.4 TestMechanismsType Class</w:t>
        </w:r>
        <w:r w:rsidR="005B5AA5">
          <w:rPr>
            <w:noProof/>
            <w:webHidden/>
          </w:rPr>
          <w:tab/>
        </w:r>
        <w:r w:rsidR="005B5AA5">
          <w:rPr>
            <w:noProof/>
            <w:webHidden/>
          </w:rPr>
          <w:fldChar w:fldCharType="begin"/>
        </w:r>
        <w:r w:rsidR="005B5AA5">
          <w:rPr>
            <w:noProof/>
            <w:webHidden/>
          </w:rPr>
          <w:instrText xml:space="preserve"> PAGEREF _Toc428534897 \h </w:instrText>
        </w:r>
        <w:r w:rsidR="005B5AA5">
          <w:rPr>
            <w:noProof/>
            <w:webHidden/>
          </w:rPr>
        </w:r>
        <w:r w:rsidR="005B5AA5">
          <w:rPr>
            <w:noProof/>
            <w:webHidden/>
          </w:rPr>
          <w:fldChar w:fldCharType="separate"/>
        </w:r>
        <w:r w:rsidR="005B5AA5">
          <w:rPr>
            <w:noProof/>
            <w:webHidden/>
          </w:rPr>
          <w:t>22</w:t>
        </w:r>
        <w:r w:rsidR="005B5AA5">
          <w:rPr>
            <w:noProof/>
            <w:webHidden/>
          </w:rPr>
          <w:fldChar w:fldCharType="end"/>
        </w:r>
      </w:hyperlink>
    </w:p>
    <w:p w14:paraId="5881AE8E" w14:textId="77777777" w:rsidR="005B5AA5" w:rsidRPr="0055035A" w:rsidRDefault="002538CB">
      <w:pPr>
        <w:pStyle w:val="TOC3"/>
        <w:tabs>
          <w:tab w:val="right" w:leader="dot" w:pos="9350"/>
        </w:tabs>
        <w:rPr>
          <w:rFonts w:eastAsiaTheme="minorEastAsia" w:cstheme="minorBidi"/>
          <w:noProof/>
          <w:szCs w:val="22"/>
        </w:rPr>
      </w:pPr>
      <w:hyperlink w:anchor="_Toc428534898" w:history="1">
        <w:r w:rsidR="005B5AA5" w:rsidRPr="00E808CE">
          <w:rPr>
            <w:rStyle w:val="Hyperlink"/>
            <w:noProof/>
          </w:rPr>
          <w:t>3.4.1 TestMechanismType Class</w:t>
        </w:r>
        <w:r w:rsidR="005B5AA5">
          <w:rPr>
            <w:noProof/>
            <w:webHidden/>
          </w:rPr>
          <w:tab/>
        </w:r>
        <w:r w:rsidR="005B5AA5">
          <w:rPr>
            <w:noProof/>
            <w:webHidden/>
          </w:rPr>
          <w:fldChar w:fldCharType="begin"/>
        </w:r>
        <w:r w:rsidR="005B5AA5">
          <w:rPr>
            <w:noProof/>
            <w:webHidden/>
          </w:rPr>
          <w:instrText xml:space="preserve"> PAGEREF _Toc428534898 \h </w:instrText>
        </w:r>
        <w:r w:rsidR="005B5AA5">
          <w:rPr>
            <w:noProof/>
            <w:webHidden/>
          </w:rPr>
        </w:r>
        <w:r w:rsidR="005B5AA5">
          <w:rPr>
            <w:noProof/>
            <w:webHidden/>
          </w:rPr>
          <w:fldChar w:fldCharType="separate"/>
        </w:r>
        <w:r w:rsidR="005B5AA5">
          <w:rPr>
            <w:noProof/>
            <w:webHidden/>
          </w:rPr>
          <w:t>23</w:t>
        </w:r>
        <w:r w:rsidR="005B5AA5">
          <w:rPr>
            <w:noProof/>
            <w:webHidden/>
          </w:rPr>
          <w:fldChar w:fldCharType="end"/>
        </w:r>
      </w:hyperlink>
    </w:p>
    <w:p w14:paraId="021274BA" w14:textId="77777777" w:rsidR="005B5AA5" w:rsidRPr="0055035A" w:rsidRDefault="002538CB">
      <w:pPr>
        <w:pStyle w:val="TOC2"/>
        <w:tabs>
          <w:tab w:val="right" w:leader="dot" w:pos="9350"/>
        </w:tabs>
        <w:rPr>
          <w:rFonts w:eastAsiaTheme="minorEastAsia" w:cstheme="minorBidi"/>
          <w:noProof/>
          <w:szCs w:val="22"/>
        </w:rPr>
      </w:pPr>
      <w:hyperlink w:anchor="_Toc428534899" w:history="1">
        <w:r w:rsidR="005B5AA5" w:rsidRPr="00E808CE">
          <w:rPr>
            <w:rStyle w:val="Hyperlink"/>
            <w:noProof/>
          </w:rPr>
          <w:t>3.5 SuggestedCOAsType Class</w:t>
        </w:r>
        <w:r w:rsidR="005B5AA5">
          <w:rPr>
            <w:noProof/>
            <w:webHidden/>
          </w:rPr>
          <w:tab/>
        </w:r>
        <w:r w:rsidR="005B5AA5">
          <w:rPr>
            <w:noProof/>
            <w:webHidden/>
          </w:rPr>
          <w:fldChar w:fldCharType="begin"/>
        </w:r>
        <w:r w:rsidR="005B5AA5">
          <w:rPr>
            <w:noProof/>
            <w:webHidden/>
          </w:rPr>
          <w:instrText xml:space="preserve"> PAGEREF _Toc428534899 \h </w:instrText>
        </w:r>
        <w:r w:rsidR="005B5AA5">
          <w:rPr>
            <w:noProof/>
            <w:webHidden/>
          </w:rPr>
        </w:r>
        <w:r w:rsidR="005B5AA5">
          <w:rPr>
            <w:noProof/>
            <w:webHidden/>
          </w:rPr>
          <w:fldChar w:fldCharType="separate"/>
        </w:r>
        <w:r w:rsidR="005B5AA5">
          <w:rPr>
            <w:noProof/>
            <w:webHidden/>
          </w:rPr>
          <w:t>25</w:t>
        </w:r>
        <w:r w:rsidR="005B5AA5">
          <w:rPr>
            <w:noProof/>
            <w:webHidden/>
          </w:rPr>
          <w:fldChar w:fldCharType="end"/>
        </w:r>
      </w:hyperlink>
    </w:p>
    <w:p w14:paraId="1914AFB5" w14:textId="77777777" w:rsidR="005B5AA5" w:rsidRPr="0055035A" w:rsidRDefault="002538CB">
      <w:pPr>
        <w:pStyle w:val="TOC2"/>
        <w:tabs>
          <w:tab w:val="right" w:leader="dot" w:pos="9350"/>
        </w:tabs>
        <w:rPr>
          <w:rFonts w:eastAsiaTheme="minorEastAsia" w:cstheme="minorBidi"/>
          <w:noProof/>
          <w:szCs w:val="22"/>
        </w:rPr>
      </w:pPr>
      <w:hyperlink w:anchor="_Toc428534900" w:history="1">
        <w:r w:rsidR="005B5AA5" w:rsidRPr="00E808CE">
          <w:rPr>
            <w:rStyle w:val="Hyperlink"/>
            <w:noProof/>
          </w:rPr>
          <w:t>3.6 SightingsType Class</w:t>
        </w:r>
        <w:r w:rsidR="005B5AA5">
          <w:rPr>
            <w:noProof/>
            <w:webHidden/>
          </w:rPr>
          <w:tab/>
        </w:r>
        <w:r w:rsidR="005B5AA5">
          <w:rPr>
            <w:noProof/>
            <w:webHidden/>
          </w:rPr>
          <w:fldChar w:fldCharType="begin"/>
        </w:r>
        <w:r w:rsidR="005B5AA5">
          <w:rPr>
            <w:noProof/>
            <w:webHidden/>
          </w:rPr>
          <w:instrText xml:space="preserve"> PAGEREF _Toc428534900 \h </w:instrText>
        </w:r>
        <w:r w:rsidR="005B5AA5">
          <w:rPr>
            <w:noProof/>
            <w:webHidden/>
          </w:rPr>
        </w:r>
        <w:r w:rsidR="005B5AA5">
          <w:rPr>
            <w:noProof/>
            <w:webHidden/>
          </w:rPr>
          <w:fldChar w:fldCharType="separate"/>
        </w:r>
        <w:r w:rsidR="005B5AA5">
          <w:rPr>
            <w:noProof/>
            <w:webHidden/>
          </w:rPr>
          <w:t>26</w:t>
        </w:r>
        <w:r w:rsidR="005B5AA5">
          <w:rPr>
            <w:noProof/>
            <w:webHidden/>
          </w:rPr>
          <w:fldChar w:fldCharType="end"/>
        </w:r>
      </w:hyperlink>
    </w:p>
    <w:p w14:paraId="49A565B5" w14:textId="77777777" w:rsidR="005B5AA5" w:rsidRPr="0055035A" w:rsidRDefault="002538CB">
      <w:pPr>
        <w:pStyle w:val="TOC3"/>
        <w:tabs>
          <w:tab w:val="right" w:leader="dot" w:pos="9350"/>
        </w:tabs>
        <w:rPr>
          <w:rFonts w:eastAsiaTheme="minorEastAsia" w:cstheme="minorBidi"/>
          <w:noProof/>
          <w:szCs w:val="22"/>
        </w:rPr>
      </w:pPr>
      <w:hyperlink w:anchor="_Toc428534901" w:history="1">
        <w:r w:rsidR="005B5AA5" w:rsidRPr="00E808CE">
          <w:rPr>
            <w:rStyle w:val="Hyperlink"/>
            <w:noProof/>
          </w:rPr>
          <w:t>3.6.1 SightingType Class</w:t>
        </w:r>
        <w:r w:rsidR="005B5AA5">
          <w:rPr>
            <w:noProof/>
            <w:webHidden/>
          </w:rPr>
          <w:tab/>
        </w:r>
        <w:r w:rsidR="005B5AA5">
          <w:rPr>
            <w:noProof/>
            <w:webHidden/>
          </w:rPr>
          <w:fldChar w:fldCharType="begin"/>
        </w:r>
        <w:r w:rsidR="005B5AA5">
          <w:rPr>
            <w:noProof/>
            <w:webHidden/>
          </w:rPr>
          <w:instrText xml:space="preserve"> PAGEREF _Toc428534901 \h </w:instrText>
        </w:r>
        <w:r w:rsidR="005B5AA5">
          <w:rPr>
            <w:noProof/>
            <w:webHidden/>
          </w:rPr>
        </w:r>
        <w:r w:rsidR="005B5AA5">
          <w:rPr>
            <w:noProof/>
            <w:webHidden/>
          </w:rPr>
          <w:fldChar w:fldCharType="separate"/>
        </w:r>
        <w:r w:rsidR="005B5AA5">
          <w:rPr>
            <w:noProof/>
            <w:webHidden/>
          </w:rPr>
          <w:t>27</w:t>
        </w:r>
        <w:r w:rsidR="005B5AA5">
          <w:rPr>
            <w:noProof/>
            <w:webHidden/>
          </w:rPr>
          <w:fldChar w:fldCharType="end"/>
        </w:r>
      </w:hyperlink>
    </w:p>
    <w:p w14:paraId="693BAF03" w14:textId="77777777" w:rsidR="005B5AA5" w:rsidRPr="0055035A" w:rsidRDefault="002538CB">
      <w:pPr>
        <w:pStyle w:val="TOC4"/>
        <w:tabs>
          <w:tab w:val="right" w:leader="dot" w:pos="9350"/>
        </w:tabs>
        <w:rPr>
          <w:rFonts w:eastAsiaTheme="minorEastAsia" w:cstheme="minorBidi"/>
          <w:noProof/>
          <w:sz w:val="20"/>
          <w:szCs w:val="22"/>
        </w:rPr>
      </w:pPr>
      <w:hyperlink w:anchor="_Toc428534902" w:history="1">
        <w:r w:rsidR="005B5AA5" w:rsidRPr="00E808CE">
          <w:rPr>
            <w:rStyle w:val="Hyperlink"/>
            <w:noProof/>
          </w:rPr>
          <w:t>3.6.1.1 RelatedObservablesType Class</w:t>
        </w:r>
        <w:r w:rsidR="005B5AA5">
          <w:rPr>
            <w:noProof/>
            <w:webHidden/>
          </w:rPr>
          <w:tab/>
        </w:r>
        <w:r w:rsidR="005B5AA5">
          <w:rPr>
            <w:noProof/>
            <w:webHidden/>
          </w:rPr>
          <w:fldChar w:fldCharType="begin"/>
        </w:r>
        <w:r w:rsidR="005B5AA5">
          <w:rPr>
            <w:noProof/>
            <w:webHidden/>
          </w:rPr>
          <w:instrText xml:space="preserve"> PAGEREF _Toc428534902 \h </w:instrText>
        </w:r>
        <w:r w:rsidR="005B5AA5">
          <w:rPr>
            <w:noProof/>
            <w:webHidden/>
          </w:rPr>
        </w:r>
        <w:r w:rsidR="005B5AA5">
          <w:rPr>
            <w:noProof/>
            <w:webHidden/>
          </w:rPr>
          <w:fldChar w:fldCharType="separate"/>
        </w:r>
        <w:r w:rsidR="005B5AA5">
          <w:rPr>
            <w:noProof/>
            <w:webHidden/>
          </w:rPr>
          <w:t>29</w:t>
        </w:r>
        <w:r w:rsidR="005B5AA5">
          <w:rPr>
            <w:noProof/>
            <w:webHidden/>
          </w:rPr>
          <w:fldChar w:fldCharType="end"/>
        </w:r>
      </w:hyperlink>
    </w:p>
    <w:p w14:paraId="31B5F343" w14:textId="77777777" w:rsidR="005B5AA5" w:rsidRPr="0055035A" w:rsidRDefault="002538CB">
      <w:pPr>
        <w:pStyle w:val="TOC2"/>
        <w:tabs>
          <w:tab w:val="right" w:leader="dot" w:pos="9350"/>
        </w:tabs>
        <w:rPr>
          <w:rFonts w:eastAsiaTheme="minorEastAsia" w:cstheme="minorBidi"/>
          <w:noProof/>
          <w:szCs w:val="22"/>
        </w:rPr>
      </w:pPr>
      <w:hyperlink w:anchor="_Toc428534903" w:history="1">
        <w:r w:rsidR="005B5AA5" w:rsidRPr="00E808CE">
          <w:rPr>
            <w:rStyle w:val="Hyperlink"/>
            <w:noProof/>
          </w:rPr>
          <w:t>3.7 RelatedIndicatorsType Class</w:t>
        </w:r>
        <w:r w:rsidR="005B5AA5">
          <w:rPr>
            <w:noProof/>
            <w:webHidden/>
          </w:rPr>
          <w:tab/>
        </w:r>
        <w:r w:rsidR="005B5AA5">
          <w:rPr>
            <w:noProof/>
            <w:webHidden/>
          </w:rPr>
          <w:fldChar w:fldCharType="begin"/>
        </w:r>
        <w:r w:rsidR="005B5AA5">
          <w:rPr>
            <w:noProof/>
            <w:webHidden/>
          </w:rPr>
          <w:instrText xml:space="preserve"> PAGEREF _Toc428534903 \h </w:instrText>
        </w:r>
        <w:r w:rsidR="005B5AA5">
          <w:rPr>
            <w:noProof/>
            <w:webHidden/>
          </w:rPr>
        </w:r>
        <w:r w:rsidR="005B5AA5">
          <w:rPr>
            <w:noProof/>
            <w:webHidden/>
          </w:rPr>
          <w:fldChar w:fldCharType="separate"/>
        </w:r>
        <w:r w:rsidR="005B5AA5">
          <w:rPr>
            <w:noProof/>
            <w:webHidden/>
          </w:rPr>
          <w:t>31</w:t>
        </w:r>
        <w:r w:rsidR="005B5AA5">
          <w:rPr>
            <w:noProof/>
            <w:webHidden/>
          </w:rPr>
          <w:fldChar w:fldCharType="end"/>
        </w:r>
      </w:hyperlink>
    </w:p>
    <w:p w14:paraId="2C421DC5" w14:textId="77777777" w:rsidR="005B5AA5" w:rsidRPr="0055035A" w:rsidRDefault="002538CB">
      <w:pPr>
        <w:pStyle w:val="TOC2"/>
        <w:tabs>
          <w:tab w:val="right" w:leader="dot" w:pos="9350"/>
        </w:tabs>
        <w:rPr>
          <w:rFonts w:eastAsiaTheme="minorEastAsia" w:cstheme="minorBidi"/>
          <w:noProof/>
          <w:szCs w:val="22"/>
        </w:rPr>
      </w:pPr>
      <w:hyperlink w:anchor="_Toc428534904" w:history="1">
        <w:r w:rsidR="005B5AA5" w:rsidRPr="00E808CE">
          <w:rPr>
            <w:rStyle w:val="Hyperlink"/>
            <w:noProof/>
          </w:rPr>
          <w:t>3.8 RelatedCampaignReferencesType Class</w:t>
        </w:r>
        <w:r w:rsidR="005B5AA5">
          <w:rPr>
            <w:noProof/>
            <w:webHidden/>
          </w:rPr>
          <w:tab/>
        </w:r>
        <w:r w:rsidR="005B5AA5">
          <w:rPr>
            <w:noProof/>
            <w:webHidden/>
          </w:rPr>
          <w:fldChar w:fldCharType="begin"/>
        </w:r>
        <w:r w:rsidR="005B5AA5">
          <w:rPr>
            <w:noProof/>
            <w:webHidden/>
          </w:rPr>
          <w:instrText xml:space="preserve"> PAGEREF _Toc428534904 \h </w:instrText>
        </w:r>
        <w:r w:rsidR="005B5AA5">
          <w:rPr>
            <w:noProof/>
            <w:webHidden/>
          </w:rPr>
        </w:r>
        <w:r w:rsidR="005B5AA5">
          <w:rPr>
            <w:noProof/>
            <w:webHidden/>
          </w:rPr>
          <w:fldChar w:fldCharType="separate"/>
        </w:r>
        <w:r w:rsidR="005B5AA5">
          <w:rPr>
            <w:noProof/>
            <w:webHidden/>
          </w:rPr>
          <w:t>32</w:t>
        </w:r>
        <w:r w:rsidR="005B5AA5">
          <w:rPr>
            <w:noProof/>
            <w:webHidden/>
          </w:rPr>
          <w:fldChar w:fldCharType="end"/>
        </w:r>
      </w:hyperlink>
    </w:p>
    <w:p w14:paraId="7F7CCC87" w14:textId="77777777" w:rsidR="005B5AA5" w:rsidRPr="0055035A" w:rsidRDefault="002538CB">
      <w:pPr>
        <w:pStyle w:val="TOC1"/>
        <w:rPr>
          <w:rFonts w:eastAsiaTheme="minorEastAsia" w:cstheme="minorBidi"/>
          <w:noProof/>
          <w:szCs w:val="22"/>
        </w:rPr>
      </w:pPr>
      <w:hyperlink w:anchor="_Toc428534905" w:history="1">
        <w:r w:rsidR="005B5AA5" w:rsidRPr="00E808CE">
          <w:rPr>
            <w:rStyle w:val="Hyperlink"/>
            <w:noProof/>
          </w:rPr>
          <w:t>4</w:t>
        </w:r>
        <w:r w:rsidR="005B5AA5" w:rsidRPr="0055035A">
          <w:rPr>
            <w:rFonts w:eastAsiaTheme="minorEastAsia" w:cstheme="minorBidi"/>
            <w:noProof/>
            <w:szCs w:val="22"/>
          </w:rPr>
          <w:tab/>
        </w:r>
        <w:r w:rsidR="005B5AA5" w:rsidRPr="00E808CE">
          <w:rPr>
            <w:rStyle w:val="Hyperlink"/>
            <w:noProof/>
          </w:rPr>
          <w:t># Conformance</w:t>
        </w:r>
        <w:r w:rsidR="005B5AA5">
          <w:rPr>
            <w:noProof/>
            <w:webHidden/>
          </w:rPr>
          <w:tab/>
        </w:r>
        <w:r w:rsidR="005B5AA5">
          <w:rPr>
            <w:noProof/>
            <w:webHidden/>
          </w:rPr>
          <w:fldChar w:fldCharType="begin"/>
        </w:r>
        <w:r w:rsidR="005B5AA5">
          <w:rPr>
            <w:noProof/>
            <w:webHidden/>
          </w:rPr>
          <w:instrText xml:space="preserve"> PAGEREF _Toc428534905 \h </w:instrText>
        </w:r>
        <w:r w:rsidR="005B5AA5">
          <w:rPr>
            <w:noProof/>
            <w:webHidden/>
          </w:rPr>
        </w:r>
        <w:r w:rsidR="005B5AA5">
          <w:rPr>
            <w:noProof/>
            <w:webHidden/>
          </w:rPr>
          <w:fldChar w:fldCharType="separate"/>
        </w:r>
        <w:r w:rsidR="005B5AA5">
          <w:rPr>
            <w:noProof/>
            <w:webHidden/>
          </w:rPr>
          <w:t>34</w:t>
        </w:r>
        <w:r w:rsidR="005B5AA5">
          <w:rPr>
            <w:noProof/>
            <w:webHidden/>
          </w:rPr>
          <w:fldChar w:fldCharType="end"/>
        </w:r>
      </w:hyperlink>
    </w:p>
    <w:p w14:paraId="71BF5F8F" w14:textId="77777777" w:rsidR="005B5AA5" w:rsidRPr="0055035A" w:rsidRDefault="002538CB">
      <w:pPr>
        <w:pStyle w:val="TOC1"/>
        <w:rPr>
          <w:rFonts w:eastAsiaTheme="minorEastAsia" w:cstheme="minorBidi"/>
          <w:noProof/>
          <w:szCs w:val="22"/>
        </w:rPr>
      </w:pPr>
      <w:hyperlink w:anchor="_Toc428534906" w:history="1">
        <w:r w:rsidR="005B5AA5" w:rsidRPr="00E808CE">
          <w:rPr>
            <w:rStyle w:val="Hyperlink"/>
            <w:noProof/>
          </w:rPr>
          <w:t>Appendix A. Acknowledgments</w:t>
        </w:r>
        <w:r w:rsidR="005B5AA5">
          <w:rPr>
            <w:noProof/>
            <w:webHidden/>
          </w:rPr>
          <w:tab/>
        </w:r>
        <w:r w:rsidR="005B5AA5">
          <w:rPr>
            <w:noProof/>
            <w:webHidden/>
          </w:rPr>
          <w:fldChar w:fldCharType="begin"/>
        </w:r>
        <w:r w:rsidR="005B5AA5">
          <w:rPr>
            <w:noProof/>
            <w:webHidden/>
          </w:rPr>
          <w:instrText xml:space="preserve"> PAGEREF _Toc428534906 \h </w:instrText>
        </w:r>
        <w:r w:rsidR="005B5AA5">
          <w:rPr>
            <w:noProof/>
            <w:webHidden/>
          </w:rPr>
        </w:r>
        <w:r w:rsidR="005B5AA5">
          <w:rPr>
            <w:noProof/>
            <w:webHidden/>
          </w:rPr>
          <w:fldChar w:fldCharType="separate"/>
        </w:r>
        <w:r w:rsidR="005B5AA5">
          <w:rPr>
            <w:noProof/>
            <w:webHidden/>
          </w:rPr>
          <w:t>35</w:t>
        </w:r>
        <w:r w:rsidR="005B5AA5">
          <w:rPr>
            <w:noProof/>
            <w:webHidden/>
          </w:rPr>
          <w:fldChar w:fldCharType="end"/>
        </w:r>
      </w:hyperlink>
    </w:p>
    <w:p w14:paraId="55C1EF5A" w14:textId="77777777" w:rsidR="005B5AA5" w:rsidRPr="0055035A" w:rsidRDefault="002538CB">
      <w:pPr>
        <w:pStyle w:val="TOC1"/>
        <w:rPr>
          <w:rFonts w:eastAsiaTheme="minorEastAsia" w:cstheme="minorBidi"/>
          <w:noProof/>
          <w:szCs w:val="22"/>
        </w:rPr>
      </w:pPr>
      <w:hyperlink w:anchor="_Toc428534907" w:history="1">
        <w:r w:rsidR="005B5AA5" w:rsidRPr="00E808CE">
          <w:rPr>
            <w:rStyle w:val="Hyperlink"/>
            <w:noProof/>
          </w:rPr>
          <w:t>Appendix B. Revision History</w:t>
        </w:r>
        <w:r w:rsidR="005B5AA5">
          <w:rPr>
            <w:noProof/>
            <w:webHidden/>
          </w:rPr>
          <w:tab/>
        </w:r>
        <w:r w:rsidR="005B5AA5">
          <w:rPr>
            <w:noProof/>
            <w:webHidden/>
          </w:rPr>
          <w:fldChar w:fldCharType="begin"/>
        </w:r>
        <w:r w:rsidR="005B5AA5">
          <w:rPr>
            <w:noProof/>
            <w:webHidden/>
          </w:rPr>
          <w:instrText xml:space="preserve"> PAGEREF _Toc428534907 \h </w:instrText>
        </w:r>
        <w:r w:rsidR="005B5AA5">
          <w:rPr>
            <w:noProof/>
            <w:webHidden/>
          </w:rPr>
        </w:r>
        <w:r w:rsidR="005B5AA5">
          <w:rPr>
            <w:noProof/>
            <w:webHidden/>
          </w:rPr>
          <w:fldChar w:fldCharType="separate"/>
        </w:r>
        <w:r w:rsidR="005B5AA5">
          <w:rPr>
            <w:noProof/>
            <w:webHidden/>
          </w:rPr>
          <w:t>36</w:t>
        </w:r>
        <w:r w:rsidR="005B5AA5">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3BCE61B5" w14:textId="77777777" w:rsidR="00C71349" w:rsidRPr="00C52EFC" w:rsidRDefault="00177DED" w:rsidP="0076113A">
      <w:pPr>
        <w:pStyle w:val="Heading1"/>
      </w:pPr>
      <w:bookmarkStart w:id="5" w:name="_Toc428534873"/>
      <w:r>
        <w:lastRenderedPageBreak/>
        <w:t>Introduction</w:t>
      </w:r>
      <w:bookmarkEnd w:id="0"/>
      <w:bookmarkEnd w:id="4"/>
      <w:bookmarkEnd w:id="5"/>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35E08C89"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t xml:space="preserve">Sections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1.4</w:t>
      </w:r>
      <w:r w:rsidRPr="007C43D0">
        <w:rPr>
          <w:b/>
          <w:color w:val="0000EE"/>
        </w:rPr>
        <w:fldChar w:fldCharType="end"/>
      </w:r>
      <w:r w:rsidRPr="007C43D0">
        <w:rPr>
          <w:b/>
          <w:color w:val="0000EE"/>
        </w:rPr>
        <w:t xml:space="preserve"> </w:t>
      </w:r>
      <w:r>
        <w:t xml:space="preserve">and </w:t>
      </w:r>
      <w:r w:rsidRPr="007C43D0">
        <w:rPr>
          <w:b/>
          <w:color w:val="0000EE"/>
        </w:rPr>
        <w:fldChar w:fldCharType="begin"/>
      </w:r>
      <w:r w:rsidRPr="007C43D0">
        <w:rPr>
          <w:b/>
          <w:color w:val="0000EE"/>
        </w:rPr>
        <w:instrText xml:space="preserve"> REF _Ref428529279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1.5</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Pr="007C43D0">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6" w:name="_Ref394327838"/>
      <w:bookmarkStart w:id="7" w:name="_Toc412634006"/>
      <w:bookmarkStart w:id="8" w:name="_Toc426704539"/>
      <w:bookmarkStart w:id="9" w:name="_Toc428534874"/>
      <w:bookmarkStart w:id="10" w:name="_Ref394437867"/>
      <w:r>
        <w:t>STIX Specification Documents</w:t>
      </w:r>
      <w:bookmarkEnd w:id="6"/>
      <w:bookmarkEnd w:id="7"/>
      <w:bookmarkEnd w:id="8"/>
      <w:bookmarkEnd w:id="9"/>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5476A517"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 xml:space="preserve">Figure </w:t>
      </w:r>
      <w:r w:rsidRPr="008B3121">
        <w:rPr>
          <w:b/>
          <w:noProof/>
          <w:color w:val="0000EE"/>
        </w:rPr>
        <w:t>1</w:t>
      </w:r>
      <w:r w:rsidRPr="008B3121">
        <w:rPr>
          <w:b/>
          <w:color w:val="0000EE"/>
        </w:rPr>
        <w:noBreakHyphen/>
      </w:r>
      <w:r w:rsidRPr="008B3121">
        <w:rPr>
          <w:b/>
          <w:noProof/>
          <w:color w:val="0000EE"/>
        </w:rPr>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97DF6">
        <w:t xml:space="preserve"> </w:t>
      </w:r>
      <w:hyperlink w:anchor="AdditionalArtifacts" w:history="1">
        <w:r w:rsidR="00197DF6" w:rsidRPr="00197DF6">
          <w:rPr>
            <w:rStyle w:val="Hyperlink"/>
            <w:i/>
          </w:rPr>
          <w:t>STIX Version 1.2.1 Part 1: Overview</w:t>
        </w:r>
      </w:hyperlink>
      <w:r>
        <w:t xml:space="preserve"> for details).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77777777" w:rsidR="00BD15FC" w:rsidRPr="00CB4BF9" w:rsidRDefault="00BD15FC" w:rsidP="00BD15FC">
      <w:pPr>
        <w:jc w:val="center"/>
      </w:pPr>
      <w:r>
        <w:rPr>
          <w:noProof/>
        </w:rPr>
        <w:lastRenderedPageBreak/>
        <w:drawing>
          <wp:inline distT="0" distB="0" distL="0" distR="0" wp14:anchorId="2AAF185C" wp14:editId="1A464469">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583D15A3" w14:textId="0EED2047" w:rsidR="00BD15FC" w:rsidRPr="00CB4BF9" w:rsidRDefault="00BD15FC" w:rsidP="008B3121">
      <w:pPr>
        <w:pStyle w:val="Caption"/>
        <w:rPr>
          <w:b/>
        </w:rPr>
      </w:pPr>
      <w:bookmarkStart w:id="11" w:name="_Ref389819936"/>
      <w:bookmarkStart w:id="12" w:name="_Ref390077491"/>
      <w:r w:rsidRPr="000C4865">
        <w:t xml:space="preserve">Figure </w:t>
      </w:r>
      <w:r w:rsidR="002538CB">
        <w:fldChar w:fldCharType="begin"/>
      </w:r>
      <w:r w:rsidR="002538CB">
        <w:instrText xml:space="preserve"> STYLEREF 1 \s </w:instrText>
      </w:r>
      <w:r w:rsidR="002538CB">
        <w:fldChar w:fldCharType="separate"/>
      </w:r>
      <w:r>
        <w:rPr>
          <w:noProof/>
        </w:rPr>
        <w:t>1</w:t>
      </w:r>
      <w:r w:rsidR="002538CB">
        <w:rPr>
          <w:noProof/>
        </w:rPr>
        <w:fldChar w:fldCharType="end"/>
      </w:r>
      <w:r>
        <w:noBreakHyphen/>
      </w:r>
      <w:r w:rsidR="002538CB">
        <w:fldChar w:fldCharType="begin"/>
      </w:r>
      <w:r w:rsidR="002538CB">
        <w:instrText xml:space="preserve"> SEQ Figure \* ARABIC \s 1 </w:instrText>
      </w:r>
      <w:r w:rsidR="002538CB">
        <w:fldChar w:fldCharType="separate"/>
      </w:r>
      <w:r>
        <w:rPr>
          <w:noProof/>
        </w:rPr>
        <w:t>1</w:t>
      </w:r>
      <w:r w:rsidR="002538CB">
        <w:rPr>
          <w:noProof/>
        </w:rPr>
        <w:fldChar w:fldCharType="end"/>
      </w:r>
      <w:bookmarkEnd w:id="11"/>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2"/>
    </w:p>
    <w:p w14:paraId="3A73ED26" w14:textId="77777777" w:rsidR="00BD15FC" w:rsidRDefault="00BD15FC" w:rsidP="00BD15FC">
      <w:pPr>
        <w:pStyle w:val="Heading2"/>
        <w:tabs>
          <w:tab w:val="num" w:pos="864"/>
        </w:tabs>
        <w:spacing w:before="360" w:after="60"/>
        <w:ind w:left="720" w:hanging="720"/>
      </w:pPr>
      <w:bookmarkStart w:id="13" w:name="_Ref412552187"/>
      <w:bookmarkStart w:id="14" w:name="_Toc412634007"/>
      <w:bookmarkStart w:id="15" w:name="_Toc426704540"/>
      <w:bookmarkStart w:id="16" w:name="_Toc428534875"/>
      <w:r>
        <w:t>Document Conventions</w:t>
      </w:r>
      <w:bookmarkEnd w:id="10"/>
      <w:bookmarkEnd w:id="13"/>
      <w:bookmarkEnd w:id="14"/>
      <w:bookmarkEnd w:id="15"/>
      <w:bookmarkEnd w:id="16"/>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7" w:name="_Toc389570603"/>
      <w:bookmarkStart w:id="18" w:name="_Toc389581073"/>
      <w:bookmarkStart w:id="19" w:name="_Toc412634009"/>
      <w:bookmarkStart w:id="20" w:name="_Toc426704542"/>
      <w:bookmarkStart w:id="21" w:name="_Toc428534876"/>
      <w:r>
        <w:t>Fonts</w:t>
      </w:r>
      <w:bookmarkEnd w:id="17"/>
      <w:bookmarkEnd w:id="18"/>
      <w:bookmarkEnd w:id="19"/>
      <w:bookmarkEnd w:id="20"/>
      <w:bookmarkEnd w:id="21"/>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2" w:name="_Ref394486021"/>
      <w:bookmarkStart w:id="23" w:name="_Toc412634010"/>
      <w:bookmarkStart w:id="24" w:name="_Toc426704543"/>
      <w:bookmarkStart w:id="25" w:name="_Toc428534877"/>
      <w:r>
        <w:t>UML Package References</w:t>
      </w:r>
      <w:bookmarkEnd w:id="22"/>
      <w:bookmarkEnd w:id="23"/>
      <w:bookmarkEnd w:id="24"/>
      <w:bookmarkEnd w:id="25"/>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6" w:name="_Toc389570605"/>
      <w:bookmarkStart w:id="27" w:name="_Toc389581075"/>
      <w:bookmarkStart w:id="28" w:name="_Toc412634011"/>
      <w:bookmarkStart w:id="29" w:name="_Toc426704544"/>
      <w:bookmarkStart w:id="30" w:name="_Toc428534878"/>
      <w:r w:rsidRPr="00904E02">
        <w:lastRenderedPageBreak/>
        <w:t>UML Diagrams</w:t>
      </w:r>
      <w:bookmarkEnd w:id="26"/>
      <w:bookmarkEnd w:id="27"/>
      <w:bookmarkEnd w:id="28"/>
      <w:bookmarkEnd w:id="29"/>
      <w:bookmarkEnd w:id="30"/>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1" w:name="_Toc412634012"/>
      <w:bookmarkStart w:id="32" w:name="_Toc426704545"/>
      <w:bookmarkStart w:id="33" w:name="_Toc428534879"/>
      <w:r>
        <w:t>Class Properties</w:t>
      </w:r>
      <w:bookmarkEnd w:id="31"/>
      <w:bookmarkEnd w:id="32"/>
      <w:bookmarkEnd w:id="33"/>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4" w:name="_Toc412634013"/>
      <w:bookmarkStart w:id="35" w:name="_Toc426704546"/>
      <w:bookmarkStart w:id="36" w:name="_Toc428534880"/>
      <w:r>
        <w:t>Diagram Icons and Arrow Types</w:t>
      </w:r>
      <w:bookmarkEnd w:id="34"/>
      <w:bookmarkEnd w:id="35"/>
      <w:bookmarkEnd w:id="36"/>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Table 1</w:t>
      </w:r>
      <w:r w:rsidRPr="008B3121">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7" w:name="_Ref397637630"/>
      <w:r w:rsidRPr="008B3121">
        <w:t xml:space="preserve">Table </w:t>
      </w:r>
      <w:r w:rsidR="002538CB">
        <w:fldChar w:fldCharType="begin"/>
      </w:r>
      <w:r w:rsidR="002538CB">
        <w:instrText xml:space="preserve"> STYLEREF 1 \s </w:instrText>
      </w:r>
      <w:r w:rsidR="002538CB">
        <w:fldChar w:fldCharType="separate"/>
      </w:r>
      <w:r w:rsidRPr="008B3121">
        <w:rPr>
          <w:noProof/>
        </w:rPr>
        <w:t>1</w:t>
      </w:r>
      <w:r w:rsidR="002538CB">
        <w:rPr>
          <w:noProof/>
        </w:rPr>
        <w:fldChar w:fldCharType="end"/>
      </w:r>
      <w:r w:rsidRPr="008B3121">
        <w:noBreakHyphen/>
      </w:r>
      <w:r w:rsidR="002538CB">
        <w:fldChar w:fldCharType="begin"/>
      </w:r>
      <w:r w:rsidR="002538CB">
        <w:instrText xml:space="preserve"> SEQ Table \* ARABIC \s 1 </w:instrText>
      </w:r>
      <w:r w:rsidR="002538CB">
        <w:fldChar w:fldCharType="separate"/>
      </w:r>
      <w:r w:rsidRPr="008B3121">
        <w:rPr>
          <w:noProof/>
        </w:rPr>
        <w:t>1</w:t>
      </w:r>
      <w:r w:rsidR="002538CB">
        <w:rPr>
          <w:noProof/>
        </w:rPr>
        <w:fldChar w:fldCharType="end"/>
      </w:r>
      <w:bookmarkEnd w:id="37"/>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77777777" w:rsidR="00BD15FC" w:rsidRPr="003F688C" w:rsidRDefault="00BD15FC" w:rsidP="003A74D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4BB3276" wp14:editId="6C8B82D3">
                  <wp:extent cx="200025" cy="228600"/>
                  <wp:effectExtent l="0" t="0" r="9525" b="0"/>
                  <wp:docPr id="1" name="Picture 1"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994814" r:id="rId28"/>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30" o:title=""/>
                </v:shape>
                <o:OLEObject Type="Embed" ProgID="PBrush" ShapeID="_x0000_i1026" DrawAspect="Content" ObjectID="_1502994815" r:id="rId31"/>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2" o:title=""/>
                </v:shape>
                <o:OLEObject Type="Embed" ProgID="PBrush" ShapeID="_x0000_i1027" DrawAspect="Content" ObjectID="_1502994816" r:id="rId33"/>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63CEF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4" o:title=""/>
                </v:shape>
                <o:OLEObject Type="Embed" ProgID="PBrush" ShapeID="_x0000_i1028" DrawAspect="Content" ObjectID="_1502994817" r:id="rId35"/>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8" w:name="_Ref397935245"/>
      <w:bookmarkStart w:id="39" w:name="_Toc412634014"/>
      <w:bookmarkStart w:id="40" w:name="_Toc426704547"/>
      <w:bookmarkStart w:id="41" w:name="_Toc428534881"/>
      <w:r>
        <w:t>Color Coding</w:t>
      </w:r>
      <w:bookmarkEnd w:id="38"/>
      <w:bookmarkEnd w:id="39"/>
      <w:bookmarkEnd w:id="40"/>
      <w:bookmarkEnd w:id="41"/>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1</w:t>
      </w:r>
      <w:r w:rsidRPr="008B3121">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2" w:name="_Ref397676401"/>
      <w:r w:rsidRPr="000C4865">
        <w:t xml:space="preserve">Figure </w:t>
      </w:r>
      <w:r w:rsidR="002538CB">
        <w:fldChar w:fldCharType="begin"/>
      </w:r>
      <w:r w:rsidR="002538CB">
        <w:instrText xml:space="preserve"> STYLEREF 1 \s </w:instrText>
      </w:r>
      <w:r w:rsidR="002538CB">
        <w:fldChar w:fldCharType="separate"/>
      </w:r>
      <w:r>
        <w:rPr>
          <w:noProof/>
        </w:rPr>
        <w:t>1</w:t>
      </w:r>
      <w:r w:rsidR="002538CB">
        <w:rPr>
          <w:noProof/>
        </w:rPr>
        <w:fldChar w:fldCharType="end"/>
      </w:r>
      <w:r>
        <w:noBreakHyphen/>
      </w:r>
      <w:r w:rsidR="002538CB">
        <w:fldChar w:fldCharType="begin"/>
      </w:r>
      <w:r w:rsidR="002538CB">
        <w:instrText xml:space="preserve"> SEQ Figure \* ARABIC \s 1 </w:instrText>
      </w:r>
      <w:r w:rsidR="002538CB">
        <w:fldChar w:fldCharType="separate"/>
      </w:r>
      <w:r>
        <w:rPr>
          <w:noProof/>
        </w:rPr>
        <w:t>2</w:t>
      </w:r>
      <w:r w:rsidR="002538CB">
        <w:rPr>
          <w:noProof/>
        </w:rPr>
        <w:fldChar w:fldCharType="end"/>
      </w:r>
      <w:bookmarkEnd w:id="42"/>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3" w:name="_Toc389570606"/>
      <w:bookmarkStart w:id="44" w:name="_Toc389581076"/>
      <w:bookmarkStart w:id="45" w:name="_Ref394436861"/>
      <w:bookmarkStart w:id="46" w:name="_Toc412634015"/>
      <w:bookmarkStart w:id="47" w:name="_Toc426704548"/>
      <w:bookmarkStart w:id="48" w:name="_Toc428534882"/>
      <w:r>
        <w:t>Property Table Notation</w:t>
      </w:r>
      <w:bookmarkEnd w:id="43"/>
      <w:bookmarkEnd w:id="44"/>
      <w:bookmarkEnd w:id="45"/>
      <w:bookmarkEnd w:id="46"/>
      <w:bookmarkEnd w:id="47"/>
      <w:bookmarkEnd w:id="4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CB64F2" w:rsidRPr="00CB64F2">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CB64F2">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9" w:name="_Toc412634016"/>
      <w:bookmarkStart w:id="50" w:name="_Toc426704549"/>
      <w:bookmarkStart w:id="51" w:name="_Toc428534883"/>
      <w:r>
        <w:t>Property and Class Descriptions</w:t>
      </w:r>
      <w:bookmarkEnd w:id="49"/>
      <w:bookmarkEnd w:id="50"/>
      <w:bookmarkEnd w:id="51"/>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lastRenderedPageBreak/>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lastRenderedPageBreak/>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2" w:name="_Toc85472893"/>
      <w:bookmarkStart w:id="53" w:name="_Toc287332007"/>
      <w:bookmarkStart w:id="54" w:name="_Ref428529262"/>
      <w:bookmarkStart w:id="55" w:name="_Toc428534884"/>
      <w:r>
        <w:t>Terminology</w:t>
      </w:r>
      <w:bookmarkEnd w:id="52"/>
      <w:bookmarkEnd w:id="53"/>
      <w:bookmarkEnd w:id="54"/>
      <w:bookmarkEnd w:id="55"/>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F10B93" w:rsidRPr="008B3121">
        <w:rPr>
          <w:rStyle w:val="Refterm"/>
          <w:color w:val="0000EE"/>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28534885"/>
      <w:r>
        <w:t>Normative</w:t>
      </w:r>
      <w:bookmarkEnd w:id="56"/>
      <w:bookmarkEnd w:id="57"/>
      <w:r>
        <w:t xml:space="preserve"> References</w:t>
      </w:r>
      <w:bookmarkEnd w:id="58"/>
      <w:bookmarkEnd w:id="59"/>
      <w:bookmarkEnd w:id="60"/>
      <w:bookmarkEnd w:id="61"/>
    </w:p>
    <w:p w14:paraId="3ABE3D94" w14:textId="77777777" w:rsidR="00C02DEC" w:rsidRDefault="00C02DEC" w:rsidP="00AE0702">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2F4D20F2" w14:textId="77777777" w:rsidR="00C02DEC" w:rsidRDefault="00C02DEC" w:rsidP="00A710C8">
      <w:pPr>
        <w:pStyle w:val="Heading2"/>
      </w:pPr>
      <w:bookmarkStart w:id="63" w:name="_Toc85472895"/>
      <w:bookmarkStart w:id="64" w:name="_Toc287332009"/>
      <w:bookmarkStart w:id="65" w:name="_Ref428529279"/>
      <w:bookmarkStart w:id="66" w:name="_Toc428534886"/>
      <w:r>
        <w:t>Non-Normative References</w:t>
      </w:r>
      <w:bookmarkEnd w:id="63"/>
      <w:bookmarkEnd w:id="64"/>
      <w:bookmarkEnd w:id="65"/>
      <w:bookmarkEnd w:id="66"/>
    </w:p>
    <w:p w14:paraId="3CF5B703" w14:textId="77777777" w:rsidR="00D5207A" w:rsidRPr="00960D49" w:rsidRDefault="00D5207A" w:rsidP="00960D49">
      <w:pPr>
        <w:pStyle w:val="Ref"/>
        <w:rPr>
          <w:rFonts w:cs="Arial"/>
          <w:szCs w:val="20"/>
        </w:rPr>
      </w:pPr>
    </w:p>
    <w:p w14:paraId="397AB26D" w14:textId="77777777" w:rsidR="006D31DB" w:rsidRDefault="00BD15FC" w:rsidP="00FD22AC">
      <w:pPr>
        <w:pStyle w:val="Heading1"/>
      </w:pPr>
      <w:bookmarkStart w:id="67" w:name="_Ref428529295"/>
      <w:bookmarkStart w:id="68" w:name="_Toc428534887"/>
      <w:r>
        <w:lastRenderedPageBreak/>
        <w:t>Background Information</w:t>
      </w:r>
      <w:bookmarkEnd w:id="67"/>
      <w:bookmarkEnd w:id="68"/>
    </w:p>
    <w:p w14:paraId="331BCC40" w14:textId="77777777" w:rsidR="00BD15FC" w:rsidRPr="00926B57" w:rsidRDefault="00BD15FC" w:rsidP="00BD15FC">
      <w:pPr>
        <w:spacing w:after="240"/>
      </w:pPr>
      <w:r>
        <w:t xml:space="preserve">In this section, we provide high level information about the Indicator data model that is necessary to fully understand the Indicator data model specification details given in Section </w:t>
      </w:r>
      <w:r w:rsidRPr="008B3121">
        <w:rPr>
          <w:b/>
          <w:color w:val="0000EE"/>
        </w:rPr>
        <w:fldChar w:fldCharType="begin"/>
      </w:r>
      <w:r w:rsidRPr="008B3121">
        <w:rPr>
          <w:b/>
          <w:color w:val="0000EE"/>
        </w:rPr>
        <w:instrText xml:space="preserve"> REF _Ref400992483 \r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3</w:t>
      </w:r>
      <w:r w:rsidRPr="008B3121">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9" w:name="_Toc412634018"/>
      <w:bookmarkStart w:id="70" w:name="_Toc426704551"/>
      <w:bookmarkStart w:id="71" w:name="_Toc428534888"/>
      <w:r>
        <w:t xml:space="preserve">Indicator-Related </w:t>
      </w:r>
      <w:r w:rsidRPr="002D7380">
        <w:t xml:space="preserve">Component </w:t>
      </w:r>
      <w:r>
        <w:t>Data Models</w:t>
      </w:r>
      <w:bookmarkEnd w:id="69"/>
      <w:bookmarkEnd w:id="70"/>
      <w:bookmarkEnd w:id="71"/>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125ECF">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Figure 2</w:t>
      </w:r>
      <w:r w:rsidR="00125ECF" w:rsidRPr="00125ECF">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F8D231" w14:textId="77777777" w:rsidR="00BD15FC" w:rsidRPr="00CB4BF9" w:rsidRDefault="00BD15FC" w:rsidP="008B3121">
      <w:pPr>
        <w:pStyle w:val="Caption"/>
        <w:rPr>
          <w:b/>
        </w:rPr>
      </w:pPr>
      <w:bookmarkStart w:id="72" w:name="_Ref397941046"/>
      <w:r w:rsidRPr="000C4865">
        <w:t xml:space="preserve">Figure </w:t>
      </w:r>
      <w:r w:rsidR="002538CB">
        <w:fldChar w:fldCharType="begin"/>
      </w:r>
      <w:r w:rsidR="002538CB">
        <w:instrText xml:space="preserve"> STYLEREF 1 \s </w:instrText>
      </w:r>
      <w:r w:rsidR="002538CB">
        <w:fldChar w:fldCharType="separate"/>
      </w:r>
      <w:r>
        <w:rPr>
          <w:noProof/>
        </w:rPr>
        <w:t>2</w:t>
      </w:r>
      <w:r w:rsidR="002538CB">
        <w:rPr>
          <w:noProof/>
        </w:rPr>
        <w:fldChar w:fldCharType="end"/>
      </w:r>
      <w:r>
        <w:noBreakHyphen/>
      </w:r>
      <w:r w:rsidR="002538CB">
        <w:fldChar w:fldCharType="begin"/>
      </w:r>
      <w:r w:rsidR="002538CB">
        <w:instrText xml:space="preserve"> SEQ Figure \* ARABIC \s 1 </w:instrText>
      </w:r>
      <w:r w:rsidR="002538CB">
        <w:fldChar w:fldCharType="separate"/>
      </w:r>
      <w:r>
        <w:rPr>
          <w:noProof/>
        </w:rPr>
        <w:t>1</w:t>
      </w:r>
      <w:r w:rsidR="002538CB">
        <w:rPr>
          <w:noProof/>
        </w:rPr>
        <w:fldChar w:fldCharType="end"/>
      </w:r>
      <w:bookmarkEnd w:id="72"/>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73" w:name="_Ref396987956"/>
      <w:bookmarkStart w:id="74" w:name="_Toc412634019"/>
      <w:bookmarkStart w:id="75" w:name="_Toc426704552"/>
      <w:bookmarkStart w:id="76" w:name="_Toc428534889"/>
      <w:r>
        <w:t>Indicator Patterns</w:t>
      </w:r>
      <w:bookmarkEnd w:id="73"/>
      <w:bookmarkEnd w:id="74"/>
      <w:bookmarkEnd w:id="75"/>
      <w:bookmarkEnd w:id="76"/>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7" w:name="_Ref400630102"/>
      <w:bookmarkStart w:id="78" w:name="_Ref400705936"/>
      <w:bookmarkStart w:id="79" w:name="_Toc412634020"/>
      <w:bookmarkStart w:id="80" w:name="_Toc426704553"/>
      <w:bookmarkStart w:id="81" w:name="_Toc428534890"/>
      <w:bookmarkStart w:id="82" w:name="_Ref396987963"/>
      <w:r>
        <w:t>CybOX Observables</w:t>
      </w:r>
      <w:bookmarkEnd w:id="77"/>
      <w:bookmarkEnd w:id="78"/>
      <w:bookmarkEnd w:id="79"/>
      <w:bookmarkEnd w:id="80"/>
      <w:bookmarkEnd w:id="81"/>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83" w:name="_Ref396987973"/>
      <w:bookmarkStart w:id="84" w:name="_Toc412634022"/>
      <w:bookmarkStart w:id="85" w:name="_Toc426704554"/>
      <w:bookmarkStart w:id="86" w:name="_Toc428534891"/>
      <w:bookmarkEnd w:id="82"/>
      <w:r>
        <w:t>Simple and Composite Indicators</w:t>
      </w:r>
      <w:bookmarkEnd w:id="83"/>
      <w:bookmarkEnd w:id="84"/>
      <w:bookmarkEnd w:id="85"/>
      <w:bookmarkEnd w:id="86"/>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7" w:name="_Toc287332011"/>
    </w:p>
    <w:p w14:paraId="64E4A280" w14:textId="77777777" w:rsidR="00BD15FC" w:rsidRDefault="00BD15FC" w:rsidP="00FD22AC">
      <w:pPr>
        <w:pStyle w:val="Heading1"/>
      </w:pPr>
      <w:bookmarkStart w:id="88" w:name="_Ref428529309"/>
      <w:bookmarkStart w:id="89" w:name="_Toc428534892"/>
      <w:r>
        <w:lastRenderedPageBreak/>
        <w:t>STIX Indicator Data Model</w:t>
      </w:r>
      <w:bookmarkEnd w:id="88"/>
      <w:bookmarkEnd w:id="89"/>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3</w:t>
      </w:r>
      <w:r w:rsidRPr="008B3121">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90"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91" w:name="_Ref417310184"/>
      <w:r w:rsidRPr="00B9722B">
        <w:t xml:space="preserve">Figure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Figure \* ARABIC \s 1 </w:instrText>
      </w:r>
      <w:r w:rsidR="002538CB">
        <w:fldChar w:fldCharType="separate"/>
      </w:r>
      <w:r>
        <w:rPr>
          <w:noProof/>
        </w:rPr>
        <w:t>1</w:t>
      </w:r>
      <w:r w:rsidR="002538CB">
        <w:rPr>
          <w:noProof/>
        </w:rPr>
        <w:fldChar w:fldCharType="end"/>
      </w:r>
      <w:bookmarkEnd w:id="91"/>
      <w:r w:rsidRPr="00B9722B">
        <w:t xml:space="preserve">. UML diagram of the </w:t>
      </w:r>
      <w:r w:rsidRPr="00B9722B">
        <w:rPr>
          <w:rFonts w:ascii="Courier New" w:hAnsi="Courier New" w:cs="Courier New"/>
        </w:rPr>
        <w:t>IndicatorType</w:t>
      </w:r>
      <w:r w:rsidRPr="00B9722B">
        <w:t xml:space="preserve"> class</w:t>
      </w:r>
    </w:p>
    <w:bookmarkEnd w:id="90"/>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Table 3</w:t>
      </w:r>
      <w:r w:rsidR="00125ECF" w:rsidRPr="00125ECF">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92" w:name="_Ref391380115"/>
      <w:r w:rsidRPr="00C96A2E">
        <w:lastRenderedPageBreak/>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Table \* ARABIC \s 1 </w:instrText>
      </w:r>
      <w:r w:rsidR="002538CB">
        <w:fldChar w:fldCharType="separate"/>
      </w:r>
      <w:r>
        <w:rPr>
          <w:noProof/>
        </w:rPr>
        <w:t>1</w:t>
      </w:r>
      <w:r w:rsidR="002538CB">
        <w:rPr>
          <w:noProof/>
        </w:rPr>
        <w:fldChar w:fldCharType="end"/>
      </w:r>
      <w:bookmarkEnd w:id="92"/>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93" w:name="_Ref394446305"/>
      <w:bookmarkStart w:id="94"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125ECF">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125ECF" w:rsidRPr="00125ECF">
        <w:rPr>
          <w:b/>
          <w:bCs/>
          <w:color w:val="0000EE"/>
        </w:rPr>
        <w:t xml:space="preserve">Figure </w:t>
      </w:r>
      <w:r w:rsidR="00125ECF" w:rsidRPr="00125ECF">
        <w:rPr>
          <w:b/>
          <w:noProof/>
          <w:color w:val="0000EE"/>
        </w:rPr>
        <w:t>3</w:t>
      </w:r>
      <w:r w:rsidR="00125ECF" w:rsidRPr="00125ECF">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5" w:name="_Ref426640807"/>
      <w:r w:rsidRPr="004F5F32">
        <w:t xml:space="preserve">Figure </w:t>
      </w:r>
      <w:r w:rsidRPr="008E303F">
        <w:fldChar w:fldCharType="begin"/>
      </w:r>
      <w:r w:rsidRPr="004F5F32">
        <w:instrText xml:space="preserve"> STYLEREF 1 \s </w:instrText>
      </w:r>
      <w:r w:rsidRPr="008E303F">
        <w:fldChar w:fldCharType="separate"/>
      </w:r>
      <w:r>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Pr>
          <w:noProof/>
        </w:rPr>
        <w:t>2</w:t>
      </w:r>
      <w:r w:rsidRPr="008E303F">
        <w:fldChar w:fldCharType="end"/>
      </w:r>
      <w:bookmarkEnd w:id="95"/>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6" w:name="_Toc426704556"/>
      <w:bookmarkStart w:id="97" w:name="_Ref426704751"/>
      <w:bookmarkStart w:id="98" w:name="_Toc428534893"/>
      <w:r>
        <w:t>IndicatorVersion</w:t>
      </w:r>
      <w:bookmarkEnd w:id="93"/>
      <w:r>
        <w:t>Type Enumeration</w:t>
      </w:r>
      <w:bookmarkEnd w:id="94"/>
      <w:bookmarkEnd w:id="96"/>
      <w:bookmarkEnd w:id="97"/>
      <w:bookmarkEnd w:id="98"/>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125ECF" w:rsidRPr="00125ECF">
        <w:rPr>
          <w:b/>
          <w:bCs/>
          <w:color w:val="0000EE"/>
        </w:rPr>
        <w:t>Table 3</w:t>
      </w:r>
      <w:r w:rsidR="00125ECF" w:rsidRPr="00125ECF">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9" w:name="_Ref395084581"/>
      <w:r w:rsidRPr="00C96A2E">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Table \* ARABIC \s 1 </w:instrText>
      </w:r>
      <w:r w:rsidR="002538CB">
        <w:fldChar w:fldCharType="separate"/>
      </w:r>
      <w:r>
        <w:rPr>
          <w:noProof/>
        </w:rPr>
        <w:t>2</w:t>
      </w:r>
      <w:r w:rsidR="002538CB">
        <w:rPr>
          <w:noProof/>
        </w:rPr>
        <w:fldChar w:fldCharType="end"/>
      </w:r>
      <w:bookmarkEnd w:id="99"/>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100" w:name="_Toc412634025"/>
      <w:bookmarkStart w:id="101" w:name="_Toc426704557"/>
      <w:bookmarkStart w:id="102" w:name="_Toc428534894"/>
      <w:r>
        <w:t>ValidTimeType Class</w:t>
      </w:r>
      <w:bookmarkEnd w:id="100"/>
      <w:bookmarkEnd w:id="101"/>
      <w:bookmarkEnd w:id="102"/>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103" w:name="_Ref417310290"/>
      <w:r w:rsidRPr="0033211F">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rsidRPr="0033211F">
        <w:noBreakHyphen/>
      </w:r>
      <w:r w:rsidR="002538CB">
        <w:fldChar w:fldCharType="begin"/>
      </w:r>
      <w:r w:rsidR="002538CB">
        <w:instrText xml:space="preserve"> SEQ Table \* ARABIC \s 1 </w:instrText>
      </w:r>
      <w:r w:rsidR="002538CB">
        <w:fldChar w:fldCharType="separate"/>
      </w:r>
      <w:r>
        <w:rPr>
          <w:noProof/>
        </w:rPr>
        <w:t>3</w:t>
      </w:r>
      <w:r w:rsidR="002538CB">
        <w:rPr>
          <w:noProof/>
        </w:rPr>
        <w:fldChar w:fldCharType="end"/>
      </w:r>
      <w:bookmarkEnd w:id="103"/>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4" w:name="_Toc412634026"/>
      <w:bookmarkStart w:id="105" w:name="_Ref426640016"/>
      <w:bookmarkStart w:id="106" w:name="_Toc426704558"/>
      <w:bookmarkStart w:id="107" w:name="_Toc428534895"/>
      <w:r>
        <w:t>CompositeIndicatorExpressionType Class</w:t>
      </w:r>
      <w:bookmarkEnd w:id="104"/>
      <w:bookmarkEnd w:id="105"/>
      <w:bookmarkEnd w:id="106"/>
      <w:bookmarkEnd w:id="107"/>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8" w:name="_Ref397252614"/>
      <w:r w:rsidRPr="001A1443">
        <w:lastRenderedPageBreak/>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Table \* ARABIC \s 1 </w:instrText>
      </w:r>
      <w:r w:rsidR="002538CB">
        <w:fldChar w:fldCharType="separate"/>
      </w:r>
      <w:r>
        <w:rPr>
          <w:noProof/>
        </w:rPr>
        <w:t>4</w:t>
      </w:r>
      <w:r w:rsidR="002538CB">
        <w:rPr>
          <w:noProof/>
        </w:rPr>
        <w:fldChar w:fldCharType="end"/>
      </w:r>
      <w:bookmarkEnd w:id="108"/>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9" w:name="_Toc412634027"/>
      <w:bookmarkStart w:id="110" w:name="_Toc426704559"/>
      <w:bookmarkStart w:id="111" w:name="_Toc428534896"/>
      <w:r>
        <w:t>OperatorTypeEnum Enumeration</w:t>
      </w:r>
      <w:bookmarkEnd w:id="109"/>
      <w:bookmarkEnd w:id="110"/>
      <w:bookmarkEnd w:id="111"/>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12" w:name="_Ref396725121"/>
      <w:r w:rsidRPr="00C96A2E">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Table \* ARABIC \s 1 </w:instrText>
      </w:r>
      <w:r w:rsidR="002538CB">
        <w:fldChar w:fldCharType="separate"/>
      </w:r>
      <w:r>
        <w:rPr>
          <w:noProof/>
        </w:rPr>
        <w:t>5</w:t>
      </w:r>
      <w:r w:rsidR="002538CB">
        <w:rPr>
          <w:noProof/>
        </w:rPr>
        <w:fldChar w:fldCharType="end"/>
      </w:r>
      <w:bookmarkEnd w:id="112"/>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13" w:name="_Toc412634028"/>
      <w:bookmarkStart w:id="114" w:name="_Toc426704560"/>
      <w:bookmarkStart w:id="115" w:name="_Toc428534897"/>
      <w:r w:rsidRPr="00490270">
        <w:t>TestMechanismsType Class</w:t>
      </w:r>
      <w:bookmarkEnd w:id="113"/>
      <w:bookmarkEnd w:id="114"/>
      <w:bookmarkEnd w:id="115"/>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6" w:name="_Ref417309433"/>
      <w:r w:rsidRPr="00BC2A18">
        <w:rPr>
          <w:b/>
        </w:rPr>
        <w:t xml:space="preserve">Table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Pr>
          <w:b/>
          <w:noProof/>
        </w:rPr>
        <w:t>6</w:t>
      </w:r>
      <w:r>
        <w:rPr>
          <w:b/>
        </w:rPr>
        <w:fldChar w:fldCharType="end"/>
      </w:r>
      <w:bookmarkEnd w:id="116"/>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7" w:name="_Ref396926092"/>
      <w:bookmarkStart w:id="118" w:name="_Toc412634029"/>
      <w:bookmarkStart w:id="119" w:name="_Toc426704561"/>
      <w:bookmarkStart w:id="120" w:name="_Toc428534898"/>
      <w:r w:rsidRPr="006A2661">
        <w:t>TestMechanismType Class</w:t>
      </w:r>
      <w:bookmarkEnd w:id="117"/>
      <w:bookmarkEnd w:id="118"/>
      <w:bookmarkEnd w:id="119"/>
      <w:bookmarkEnd w:id="120"/>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21" w:name="_Ref397080314"/>
      <w:r w:rsidRPr="006C5511">
        <w:rPr>
          <w:b/>
        </w:rPr>
        <w:t xml:space="preserve">Figure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3</w:t>
      </w:r>
      <w:r>
        <w:rPr>
          <w:b/>
        </w:rPr>
        <w:fldChar w:fldCharType="end"/>
      </w:r>
      <w:bookmarkEnd w:id="121"/>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Pr="008B3121">
        <w:rPr>
          <w:b/>
          <w:bCs/>
          <w:color w:val="0000EE"/>
        </w:rPr>
        <w:t>Table 3</w:t>
      </w:r>
      <w:r w:rsidRPr="008B3121">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22" w:name="_Ref396640592"/>
      <w:r w:rsidRPr="00652458">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Table \* ARABIC \s 1 </w:instrText>
      </w:r>
      <w:r w:rsidR="002538CB">
        <w:fldChar w:fldCharType="separate"/>
      </w:r>
      <w:r>
        <w:rPr>
          <w:noProof/>
        </w:rPr>
        <w:t>7</w:t>
      </w:r>
      <w:r w:rsidR="002538CB">
        <w:rPr>
          <w:noProof/>
        </w:rPr>
        <w:fldChar w:fldCharType="end"/>
      </w:r>
      <w:bookmarkEnd w:id="122"/>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23" w:name="_Ref396845845"/>
      <w:r w:rsidRPr="00C96A2E">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Table \* ARABIC \s 1 </w:instrText>
      </w:r>
      <w:r w:rsidR="002538CB">
        <w:fldChar w:fldCharType="separate"/>
      </w:r>
      <w:r>
        <w:rPr>
          <w:noProof/>
        </w:rPr>
        <w:t>8</w:t>
      </w:r>
      <w:r w:rsidR="002538CB">
        <w:rPr>
          <w:noProof/>
        </w:rPr>
        <w:fldChar w:fldCharType="end"/>
      </w:r>
      <w:bookmarkEnd w:id="123"/>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4" w:name="_Toc412634030"/>
      <w:bookmarkStart w:id="125" w:name="_Toc426704562"/>
      <w:bookmarkStart w:id="126" w:name="_Toc428534899"/>
      <w:r w:rsidRPr="007A5BC7">
        <w:t>SuggestedCOAsType Class</w:t>
      </w:r>
      <w:bookmarkEnd w:id="124"/>
      <w:bookmarkEnd w:id="125"/>
      <w:bookmarkEnd w:id="126"/>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7" w:name="_Ref396846565"/>
      <w:r w:rsidRPr="0086379B">
        <w:t xml:space="preserve">Figure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Figure \* ARABIC \s 1 </w:instrText>
      </w:r>
      <w:r w:rsidR="002538CB">
        <w:fldChar w:fldCharType="separate"/>
      </w:r>
      <w:r>
        <w:rPr>
          <w:noProof/>
        </w:rPr>
        <w:t>4</w:t>
      </w:r>
      <w:r w:rsidR="002538CB">
        <w:rPr>
          <w:noProof/>
        </w:rPr>
        <w:fldChar w:fldCharType="end"/>
      </w:r>
      <w:bookmarkEnd w:id="127"/>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CB1C1C" w:rsidRPr="00CB1C1C">
        <w:rPr>
          <w:b/>
          <w:color w:val="0000EE"/>
        </w:rPr>
        <w:t>Table 3</w:t>
      </w:r>
      <w:r w:rsidR="00CB1C1C" w:rsidRPr="00CB1C1C">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CB1C1C" w:rsidRPr="00CB1C1C">
        <w:rPr>
          <w:b/>
          <w:color w:val="0000EE"/>
        </w:rPr>
        <w:t>Figure 3</w:t>
      </w:r>
      <w:r w:rsidR="00CB1C1C" w:rsidRPr="00CB1C1C">
        <w:rPr>
          <w:b/>
          <w:color w:val="0000EE"/>
        </w:rPr>
        <w:noBreakHyphen/>
        <w:t>4</w:t>
      </w:r>
      <w:r w:rsidRPr="00CB1C1C">
        <w:fldChar w:fldCharType="end"/>
      </w:r>
      <w:r w:rsidRPr="00CB1C1C">
        <w:t>.</w:t>
      </w:r>
    </w:p>
    <w:p w14:paraId="2EA3D1CB" w14:textId="77777777" w:rsidR="00BD15FC" w:rsidRDefault="00BD15FC" w:rsidP="008B3121">
      <w:pPr>
        <w:pStyle w:val="Caption"/>
      </w:pPr>
      <w:bookmarkStart w:id="128" w:name="_Ref396846547"/>
      <w:r w:rsidRPr="00C96A2E">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Table \* ARABIC \s 1 </w:instrText>
      </w:r>
      <w:r w:rsidR="002538CB">
        <w:fldChar w:fldCharType="separate"/>
      </w:r>
      <w:r>
        <w:rPr>
          <w:noProof/>
        </w:rPr>
        <w:t>9</w:t>
      </w:r>
      <w:r w:rsidR="002538CB">
        <w:rPr>
          <w:noProof/>
        </w:rPr>
        <w:fldChar w:fldCharType="end"/>
      </w:r>
      <w:bookmarkEnd w:id="128"/>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9" w:name="_Toc412634031"/>
      <w:bookmarkStart w:id="130" w:name="_Toc426704563"/>
      <w:bookmarkStart w:id="131" w:name="_Toc428534900"/>
      <w:r w:rsidRPr="00C0314F">
        <w:lastRenderedPageBreak/>
        <w:t>SightingsType Class</w:t>
      </w:r>
      <w:bookmarkEnd w:id="129"/>
      <w:bookmarkEnd w:id="130"/>
      <w:bookmarkEnd w:id="131"/>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32" w:name="_Ref391382215"/>
      <w:r w:rsidRPr="00C96A2E">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Table \* ARABIC \s 1 </w:instrText>
      </w:r>
      <w:r w:rsidR="002538CB">
        <w:fldChar w:fldCharType="separate"/>
      </w:r>
      <w:r>
        <w:rPr>
          <w:noProof/>
        </w:rPr>
        <w:t>10</w:t>
      </w:r>
      <w:r w:rsidR="002538CB">
        <w:rPr>
          <w:noProof/>
        </w:rPr>
        <w:fldChar w:fldCharType="end"/>
      </w:r>
      <w:bookmarkEnd w:id="132"/>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33" w:name="_Ref396313089"/>
      <w:bookmarkStart w:id="134" w:name="_Toc412634032"/>
      <w:bookmarkStart w:id="135" w:name="_Toc426704564"/>
      <w:bookmarkStart w:id="136" w:name="_Toc428534901"/>
      <w:r w:rsidRPr="00E16DE0">
        <w:t>SightingType Class</w:t>
      </w:r>
      <w:bookmarkEnd w:id="133"/>
      <w:bookmarkEnd w:id="134"/>
      <w:bookmarkEnd w:id="135"/>
      <w:bookmarkEnd w:id="136"/>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Figure 3</w:t>
      </w:r>
      <w:r w:rsidR="00125ECF" w:rsidRPr="00125ECF">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7" w:name="_Ref396313476"/>
      <w:r w:rsidRPr="00C96A2E">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Table \* ARABIC \s 1 </w:instrText>
      </w:r>
      <w:r w:rsidR="002538CB">
        <w:fldChar w:fldCharType="separate"/>
      </w:r>
      <w:r>
        <w:rPr>
          <w:noProof/>
        </w:rPr>
        <w:t>11</w:t>
      </w:r>
      <w:r w:rsidR="002538CB">
        <w:rPr>
          <w:noProof/>
        </w:rPr>
        <w:fldChar w:fldCharType="end"/>
      </w:r>
      <w:bookmarkEnd w:id="137"/>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8" w:name="_Ref397000166"/>
      <w:bookmarkStart w:id="139" w:name="_Toc412634033"/>
    </w:p>
    <w:p w14:paraId="133CEE16" w14:textId="77777777" w:rsidR="00BD15FC" w:rsidRPr="00BC39DF" w:rsidRDefault="00BD15FC" w:rsidP="00125ECF">
      <w:pPr>
        <w:pStyle w:val="Heading4"/>
      </w:pPr>
      <w:bookmarkStart w:id="140" w:name="_Ref421650233"/>
      <w:bookmarkStart w:id="141" w:name="_Ref421650323"/>
      <w:bookmarkStart w:id="142" w:name="_Toc426704565"/>
      <w:bookmarkStart w:id="143" w:name="_Toc428534902"/>
      <w:r w:rsidRPr="00BC39DF">
        <w:lastRenderedPageBreak/>
        <w:t>RelatedObservablesType Class</w:t>
      </w:r>
      <w:bookmarkEnd w:id="138"/>
      <w:bookmarkEnd w:id="139"/>
      <w:bookmarkEnd w:id="140"/>
      <w:bookmarkEnd w:id="141"/>
      <w:bookmarkEnd w:id="142"/>
      <w:bookmarkEnd w:id="143"/>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4" w:name="_Ref397029607"/>
      <w:bookmarkStart w:id="145" w:name="_Ref396390845"/>
      <w:r w:rsidRPr="0086379B">
        <w:t xml:space="preserve">Figure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Figure \* ARABIC \s 1 </w:instrText>
      </w:r>
      <w:r w:rsidR="002538CB">
        <w:fldChar w:fldCharType="separate"/>
      </w:r>
      <w:r>
        <w:rPr>
          <w:noProof/>
        </w:rPr>
        <w:t>5</w:t>
      </w:r>
      <w:r w:rsidR="002538CB">
        <w:rPr>
          <w:noProof/>
        </w:rPr>
        <w:fldChar w:fldCharType="end"/>
      </w:r>
      <w:bookmarkEnd w:id="144"/>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Pr="00CB1C1C">
        <w:rPr>
          <w:b/>
          <w:color w:val="0000EE"/>
        </w:rPr>
        <w:t xml:space="preserve">Table </w:t>
      </w:r>
      <w:r w:rsidRPr="00CB1C1C">
        <w:rPr>
          <w:b/>
          <w:noProof/>
          <w:color w:val="0000EE"/>
        </w:rPr>
        <w:t>3</w:t>
      </w:r>
      <w:r w:rsidRPr="00CB1C1C">
        <w:rPr>
          <w:b/>
          <w:noProof/>
          <w:color w:val="0000EE"/>
        </w:rPr>
        <w:noBreakHyphen/>
        <w:t>1</w:t>
      </w:r>
      <w:r w:rsidRPr="00382664">
        <w:rPr>
          <w:noProof/>
        </w:rPr>
        <w:t>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Pr="00125ECF">
        <w:rPr>
          <w:b/>
          <w:color w:val="0000EE"/>
        </w:rPr>
        <w:t>Figure 3</w:t>
      </w:r>
      <w:r w:rsidRPr="00125ECF">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6" w:name="_Ref397029583"/>
      <w:r w:rsidRPr="00C96A2E">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T</w:instrText>
      </w:r>
      <w:r w:rsidR="002538CB">
        <w:instrText xml:space="preserve">able \* ARABIC \s 1 </w:instrText>
      </w:r>
      <w:r w:rsidR="002538CB">
        <w:fldChar w:fldCharType="separate"/>
      </w:r>
      <w:r>
        <w:rPr>
          <w:noProof/>
        </w:rPr>
        <w:t>12</w:t>
      </w:r>
      <w:r w:rsidR="002538CB">
        <w:rPr>
          <w:noProof/>
        </w:rPr>
        <w:fldChar w:fldCharType="end"/>
      </w:r>
      <w:bookmarkEnd w:id="145"/>
      <w:bookmarkEnd w:id="146"/>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7" w:name="_Ref396999734"/>
      <w:bookmarkStart w:id="148" w:name="_Toc412634034"/>
      <w:bookmarkStart w:id="149" w:name="_Toc426704566"/>
      <w:bookmarkStart w:id="150" w:name="_Toc428534903"/>
      <w:r w:rsidRPr="0009059B">
        <w:lastRenderedPageBreak/>
        <w:t>RelatedIndicatorsType Class</w:t>
      </w:r>
      <w:bookmarkEnd w:id="147"/>
      <w:bookmarkEnd w:id="148"/>
      <w:bookmarkEnd w:id="149"/>
      <w:bookmarkEnd w:id="150"/>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51" w:name="_Ref396999390"/>
      <w:r w:rsidRPr="0086379B">
        <w:t xml:space="preserve">Figure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Figure \* ARABIC \s 1 </w:instrText>
      </w:r>
      <w:r w:rsidR="002538CB">
        <w:fldChar w:fldCharType="separate"/>
      </w:r>
      <w:r>
        <w:rPr>
          <w:noProof/>
        </w:rPr>
        <w:t>6</w:t>
      </w:r>
      <w:r w:rsidR="002538CB">
        <w:rPr>
          <w:noProof/>
        </w:rPr>
        <w:fldChar w:fldCharType="end"/>
      </w:r>
      <w:bookmarkEnd w:id="151"/>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52" w:name="_Ref396999409"/>
      <w:r w:rsidRPr="00C96A2E">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Table \* ARABIC \s 1 </w:instrText>
      </w:r>
      <w:r w:rsidR="002538CB">
        <w:fldChar w:fldCharType="separate"/>
      </w:r>
      <w:r>
        <w:rPr>
          <w:noProof/>
        </w:rPr>
        <w:t>13</w:t>
      </w:r>
      <w:r w:rsidR="002538CB">
        <w:rPr>
          <w:noProof/>
        </w:rPr>
        <w:fldChar w:fldCharType="end"/>
      </w:r>
      <w:bookmarkEnd w:id="152"/>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53" w:name="_Ref396989640"/>
      <w:bookmarkStart w:id="154" w:name="_Toc412634035"/>
      <w:bookmarkStart w:id="155" w:name="_Toc426704567"/>
      <w:bookmarkStart w:id="156" w:name="_Toc428534904"/>
      <w:r>
        <w:lastRenderedPageBreak/>
        <w:t>RelatedCampaignReferencesType Class</w:t>
      </w:r>
      <w:bookmarkEnd w:id="153"/>
      <w:bookmarkEnd w:id="154"/>
      <w:bookmarkEnd w:id="155"/>
      <w:bookmarkEnd w:id="156"/>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6">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7" w:name="_Ref396638964"/>
      <w:r w:rsidRPr="0086379B">
        <w:t xml:space="preserve">Figure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Figure \* ARABIC \s 1 </w:instrText>
      </w:r>
      <w:r w:rsidR="002538CB">
        <w:fldChar w:fldCharType="separate"/>
      </w:r>
      <w:r>
        <w:rPr>
          <w:noProof/>
        </w:rPr>
        <w:t>7</w:t>
      </w:r>
      <w:r w:rsidR="002538CB">
        <w:rPr>
          <w:noProof/>
        </w:rPr>
        <w:fldChar w:fldCharType="end"/>
      </w:r>
      <w:bookmarkEnd w:id="157"/>
      <w:r>
        <w:t xml:space="preserve">. UML diagram of the </w:t>
      </w:r>
      <w:r>
        <w:rPr>
          <w:rFonts w:ascii="Courier New" w:hAnsi="Courier New" w:cs="Courier New"/>
        </w:rPr>
        <w:t>RelatedCampaignReferencesType</w:t>
      </w:r>
      <w:r>
        <w:t xml:space="preserve"> class</w:t>
      </w:r>
    </w:p>
    <w:p w14:paraId="5C6AC491" w14:textId="77777777" w:rsidR="00BD15FC"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BD15FC" w:rsidP="00BD15FC">
      <w:pPr>
        <w:spacing w:after="240"/>
      </w:pPr>
      <w:r w:rsidRPr="008B3121">
        <w:rPr>
          <w:b/>
          <w:bCs/>
          <w:color w:val="0000EE"/>
        </w:rPr>
        <w:t>Table 3</w:t>
      </w:r>
      <w:r w:rsidRPr="008B3121">
        <w:rPr>
          <w:b/>
          <w:bCs/>
          <w:color w:val="0000EE"/>
        </w:rPr>
        <w:noBreakHyphen/>
        <w:t>14</w:t>
      </w:r>
      <w:r>
        <w:fldChar w:fldCharType="end"/>
      </w:r>
      <w:r>
        <w:t xml:space="preserve"> shows the property of the </w:t>
      </w:r>
      <w:r w:rsidRPr="00393D70">
        <w:rPr>
          <w:rFonts w:ascii="Courier New" w:hAnsi="Courier New" w:cs="Courier New"/>
        </w:rPr>
        <w:t>RelatedCampaignReferencesType</w:t>
      </w:r>
      <w:r>
        <w:t xml:space="preserve"> specialization and is associated with the UML diagram given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t>.</w:t>
      </w:r>
      <w:bookmarkStart w:id="158" w:name="_Ref391382493"/>
    </w:p>
    <w:p w14:paraId="399765F3" w14:textId="77777777" w:rsidR="00BD15FC" w:rsidRDefault="00BD15FC" w:rsidP="008B3121">
      <w:pPr>
        <w:pStyle w:val="Caption"/>
      </w:pPr>
      <w:r w:rsidRPr="00C96A2E">
        <w:t xml:space="preserve">Table </w:t>
      </w:r>
      <w:r w:rsidR="002538CB">
        <w:fldChar w:fldCharType="begin"/>
      </w:r>
      <w:r w:rsidR="002538CB">
        <w:instrText xml:space="preserve"> STYLEREF 1 \s </w:instrText>
      </w:r>
      <w:r w:rsidR="002538CB">
        <w:fldChar w:fldCharType="separate"/>
      </w:r>
      <w:r>
        <w:rPr>
          <w:noProof/>
        </w:rPr>
        <w:t>3</w:t>
      </w:r>
      <w:r w:rsidR="002538CB">
        <w:rPr>
          <w:noProof/>
        </w:rPr>
        <w:fldChar w:fldCharType="end"/>
      </w:r>
      <w:r>
        <w:noBreakHyphen/>
      </w:r>
      <w:r w:rsidR="002538CB">
        <w:fldChar w:fldCharType="begin"/>
      </w:r>
      <w:r w:rsidR="002538CB">
        <w:instrText xml:space="preserve"> SEQ Table \* ARABIC \s 1 </w:instrText>
      </w:r>
      <w:r w:rsidR="002538CB">
        <w:fldChar w:fldCharType="separate"/>
      </w:r>
      <w:r>
        <w:rPr>
          <w:noProof/>
        </w:rPr>
        <w:t>14</w:t>
      </w:r>
      <w:r w:rsidR="002538CB">
        <w:rPr>
          <w:noProof/>
        </w:rPr>
        <w:fldChar w:fldCharType="end"/>
      </w:r>
      <w:bookmarkEnd w:id="158"/>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77777777" w:rsidR="00AE0702" w:rsidRPr="00FD22AC" w:rsidRDefault="00AE0702" w:rsidP="00FD22AC">
      <w:pPr>
        <w:pStyle w:val="Heading1"/>
      </w:pPr>
      <w:bookmarkStart w:id="159" w:name="_Ref428529341"/>
      <w:bookmarkStart w:id="160" w:name="_Toc428534905"/>
      <w:r w:rsidRPr="00FD22AC">
        <w:lastRenderedPageBreak/>
        <w:t># Conformance</w:t>
      </w:r>
      <w:bookmarkEnd w:id="87"/>
      <w:bookmarkEnd w:id="159"/>
      <w:bookmarkEnd w:id="160"/>
    </w:p>
    <w:p w14:paraId="704FFF0A"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7F806F6" w14:textId="77777777" w:rsidR="0052099F" w:rsidRDefault="00B80CDB" w:rsidP="00CE1F32">
      <w:pPr>
        <w:pStyle w:val="AppendixHeading1"/>
      </w:pPr>
      <w:bookmarkStart w:id="161" w:name="_Toc85472897"/>
      <w:bookmarkStart w:id="162" w:name="_Toc287332012"/>
      <w:bookmarkStart w:id="163" w:name="_Toc428534906"/>
      <w:r>
        <w:lastRenderedPageBreak/>
        <w:t>Acknowl</w:t>
      </w:r>
      <w:r w:rsidR="004D0E5E">
        <w:t>e</w:t>
      </w:r>
      <w:r w:rsidR="008F61FB">
        <w:t>dg</w:t>
      </w:r>
      <w:r w:rsidR="0052099F">
        <w:t>ments</w:t>
      </w:r>
      <w:bookmarkEnd w:id="161"/>
      <w:bookmarkEnd w:id="162"/>
      <w:bookmarkEnd w:id="163"/>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7B00F83D" w14:textId="77777777" w:rsidR="00C32606" w:rsidRDefault="001A7143" w:rsidP="00C32606">
      <w:pPr>
        <w:pStyle w:val="Contributor"/>
      </w:pPr>
      <w:r w:rsidRPr="001A7143">
        <w:t>[Participant Name, Affiliation | Individual Member]</w:t>
      </w:r>
    </w:p>
    <w:p w14:paraId="6F40346B" w14:textId="77777777" w:rsidR="00C32606" w:rsidRDefault="001A7143" w:rsidP="00C32606">
      <w:pPr>
        <w:pStyle w:val="Contributor"/>
      </w:pPr>
      <w:r w:rsidRPr="001A7143">
        <w:t>[Participant Name, Affiliation | Individual Member]</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4" w:name="_Toc85472898"/>
      <w:bookmarkStart w:id="165" w:name="_Toc287332014"/>
      <w:bookmarkStart w:id="166" w:name="_Toc428534907"/>
      <w:r>
        <w:lastRenderedPageBreak/>
        <w:t>Revision History</w:t>
      </w:r>
      <w:bookmarkEnd w:id="164"/>
      <w:bookmarkEnd w:id="165"/>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EE36D" w14:textId="77777777" w:rsidR="00052DD2" w:rsidRDefault="00052DD2" w:rsidP="008C100C">
      <w:r>
        <w:separator/>
      </w:r>
    </w:p>
    <w:p w14:paraId="4BC79F3E" w14:textId="77777777" w:rsidR="00052DD2" w:rsidRDefault="00052DD2" w:rsidP="008C100C"/>
    <w:p w14:paraId="4434F4C6" w14:textId="77777777" w:rsidR="00052DD2" w:rsidRDefault="00052DD2" w:rsidP="008C100C"/>
    <w:p w14:paraId="3E9F354F" w14:textId="77777777" w:rsidR="00052DD2" w:rsidRDefault="00052DD2" w:rsidP="008C100C"/>
    <w:p w14:paraId="7CCCE852" w14:textId="77777777" w:rsidR="00052DD2" w:rsidRDefault="00052DD2" w:rsidP="008C100C"/>
    <w:p w14:paraId="5BF97CB6" w14:textId="77777777" w:rsidR="00052DD2" w:rsidRDefault="00052DD2" w:rsidP="008C100C"/>
    <w:p w14:paraId="0D3233C1" w14:textId="77777777" w:rsidR="00052DD2" w:rsidRDefault="00052DD2" w:rsidP="008C100C"/>
  </w:endnote>
  <w:endnote w:type="continuationSeparator" w:id="0">
    <w:p w14:paraId="1E12F5DE" w14:textId="77777777" w:rsidR="00052DD2" w:rsidRDefault="00052DD2" w:rsidP="008C100C">
      <w:r>
        <w:continuationSeparator/>
      </w:r>
    </w:p>
    <w:p w14:paraId="586F1479" w14:textId="77777777" w:rsidR="00052DD2" w:rsidRDefault="00052DD2" w:rsidP="008C100C"/>
    <w:p w14:paraId="38714318" w14:textId="77777777" w:rsidR="00052DD2" w:rsidRDefault="00052DD2" w:rsidP="008C100C"/>
    <w:p w14:paraId="6C27C117" w14:textId="77777777" w:rsidR="00052DD2" w:rsidRDefault="00052DD2" w:rsidP="008C100C"/>
    <w:p w14:paraId="4C27733C" w14:textId="77777777" w:rsidR="00052DD2" w:rsidRDefault="00052DD2" w:rsidP="008C100C"/>
    <w:p w14:paraId="207CA395" w14:textId="77777777" w:rsidR="00052DD2" w:rsidRDefault="00052DD2" w:rsidP="008C100C"/>
    <w:p w14:paraId="689C5C59" w14:textId="77777777" w:rsidR="00052DD2" w:rsidRDefault="00052DD2" w:rsidP="008C100C"/>
  </w:endnote>
  <w:endnote w:id="1">
    <w:p w14:paraId="75649586" w14:textId="1C3CEE89" w:rsidR="008B3121" w:rsidRDefault="008B3121">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38C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38CB">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32740" w14:textId="77777777" w:rsidR="00052DD2" w:rsidRDefault="00052DD2" w:rsidP="008C100C">
      <w:r>
        <w:separator/>
      </w:r>
    </w:p>
    <w:p w14:paraId="68E590C6" w14:textId="77777777" w:rsidR="00052DD2" w:rsidRDefault="00052DD2" w:rsidP="008C100C"/>
  </w:footnote>
  <w:footnote w:type="continuationSeparator" w:id="0">
    <w:p w14:paraId="12F9A072" w14:textId="77777777" w:rsidR="00052DD2" w:rsidRDefault="00052DD2" w:rsidP="008C100C">
      <w:r>
        <w:continuationSeparator/>
      </w:r>
    </w:p>
    <w:p w14:paraId="0D8CF16F" w14:textId="77777777" w:rsidR="00052DD2" w:rsidRDefault="00052DD2"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2DE2"/>
    <w:rsid w:val="00590FE3"/>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F61FB"/>
    <w:rsid w:val="00903BE1"/>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A2083"/>
    <w:rsid w:val="00BC439B"/>
    <w:rsid w:val="00BD15FC"/>
    <w:rsid w:val="00BD5C4F"/>
    <w:rsid w:val="00BD74E8"/>
    <w:rsid w:val="00BE0637"/>
    <w:rsid w:val="00BE1CE0"/>
    <w:rsid w:val="00C02DEC"/>
    <w:rsid w:val="00C14E95"/>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C426B-EE5C-4B61-9E46-7DBF5492E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109</TotalTime>
  <Pages>35</Pages>
  <Words>8011</Words>
  <Characters>54658</Characters>
  <Application>Microsoft Office Word</Application>
  <DocSecurity>0</DocSecurity>
  <Lines>455</Lines>
  <Paragraphs>125</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62544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Beck, Desiree A.</cp:lastModifiedBy>
  <cp:revision>24</cp:revision>
  <cp:lastPrinted>2011-08-05T16:21:00Z</cp:lastPrinted>
  <dcterms:created xsi:type="dcterms:W3CDTF">2015-08-28T16:30:00Z</dcterms:created>
  <dcterms:modified xsi:type="dcterms:W3CDTF">2015-09-06T01:47:00Z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