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A8239D"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13E039D1" w14:textId="77777777" w:rsidR="00A8239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673" w:history="1">
        <w:r w:rsidR="00A8239D" w:rsidRPr="00C41393">
          <w:rPr>
            <w:rStyle w:val="Hyperlink"/>
            <w:noProof/>
          </w:rPr>
          <w:t>1</w:t>
        </w:r>
        <w:r w:rsidR="00A8239D">
          <w:rPr>
            <w:rFonts w:asciiTheme="minorHAnsi" w:eastAsiaTheme="minorEastAsia" w:hAnsiTheme="minorHAnsi" w:cstheme="minorBidi"/>
            <w:noProof/>
            <w:sz w:val="22"/>
            <w:szCs w:val="22"/>
          </w:rPr>
          <w:tab/>
        </w:r>
        <w:r w:rsidR="00A8239D" w:rsidRPr="00C41393">
          <w:rPr>
            <w:rStyle w:val="Hyperlink"/>
            <w:noProof/>
          </w:rPr>
          <w:t>Introduction</w:t>
        </w:r>
        <w:r w:rsidR="00A8239D">
          <w:rPr>
            <w:noProof/>
            <w:webHidden/>
          </w:rPr>
          <w:tab/>
        </w:r>
        <w:r w:rsidR="00A8239D">
          <w:rPr>
            <w:noProof/>
            <w:webHidden/>
          </w:rPr>
          <w:fldChar w:fldCharType="begin"/>
        </w:r>
        <w:r w:rsidR="00A8239D">
          <w:rPr>
            <w:noProof/>
            <w:webHidden/>
          </w:rPr>
          <w:instrText xml:space="preserve"> PAGEREF _Toc429494673 \h </w:instrText>
        </w:r>
        <w:r w:rsidR="00A8239D">
          <w:rPr>
            <w:noProof/>
            <w:webHidden/>
          </w:rPr>
        </w:r>
        <w:r w:rsidR="00A8239D">
          <w:rPr>
            <w:noProof/>
            <w:webHidden/>
          </w:rPr>
          <w:fldChar w:fldCharType="separate"/>
        </w:r>
        <w:r w:rsidR="00A8239D">
          <w:rPr>
            <w:noProof/>
            <w:webHidden/>
          </w:rPr>
          <w:t>4</w:t>
        </w:r>
        <w:r w:rsidR="00A8239D">
          <w:rPr>
            <w:noProof/>
            <w:webHidden/>
          </w:rPr>
          <w:fldChar w:fldCharType="end"/>
        </w:r>
      </w:hyperlink>
    </w:p>
    <w:p w14:paraId="1C16B8C1"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74" w:history="1">
        <w:r w:rsidRPr="00C41393">
          <w:rPr>
            <w:rStyle w:val="Hyperlink"/>
            <w:noProof/>
          </w:rPr>
          <w:t>1.1 STIX Specification Documents</w:t>
        </w:r>
        <w:r>
          <w:rPr>
            <w:noProof/>
            <w:webHidden/>
          </w:rPr>
          <w:tab/>
        </w:r>
        <w:r>
          <w:rPr>
            <w:noProof/>
            <w:webHidden/>
          </w:rPr>
          <w:fldChar w:fldCharType="begin"/>
        </w:r>
        <w:r>
          <w:rPr>
            <w:noProof/>
            <w:webHidden/>
          </w:rPr>
          <w:instrText xml:space="preserve"> PAGEREF _Toc429494674 \h </w:instrText>
        </w:r>
        <w:r>
          <w:rPr>
            <w:noProof/>
            <w:webHidden/>
          </w:rPr>
        </w:r>
        <w:r>
          <w:rPr>
            <w:noProof/>
            <w:webHidden/>
          </w:rPr>
          <w:fldChar w:fldCharType="separate"/>
        </w:r>
        <w:r>
          <w:rPr>
            <w:noProof/>
            <w:webHidden/>
          </w:rPr>
          <w:t>4</w:t>
        </w:r>
        <w:r>
          <w:rPr>
            <w:noProof/>
            <w:webHidden/>
          </w:rPr>
          <w:fldChar w:fldCharType="end"/>
        </w:r>
      </w:hyperlink>
    </w:p>
    <w:p w14:paraId="2EBA95F0"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75" w:history="1">
        <w:r w:rsidRPr="00C41393">
          <w:rPr>
            <w:rStyle w:val="Hyperlink"/>
            <w:noProof/>
          </w:rPr>
          <w:t>1.2 Document Conventions</w:t>
        </w:r>
        <w:r>
          <w:rPr>
            <w:noProof/>
            <w:webHidden/>
          </w:rPr>
          <w:tab/>
        </w:r>
        <w:r>
          <w:rPr>
            <w:noProof/>
            <w:webHidden/>
          </w:rPr>
          <w:fldChar w:fldCharType="begin"/>
        </w:r>
        <w:r>
          <w:rPr>
            <w:noProof/>
            <w:webHidden/>
          </w:rPr>
          <w:instrText xml:space="preserve"> PAGEREF _Toc429494675 \h </w:instrText>
        </w:r>
        <w:r>
          <w:rPr>
            <w:noProof/>
            <w:webHidden/>
          </w:rPr>
        </w:r>
        <w:r>
          <w:rPr>
            <w:noProof/>
            <w:webHidden/>
          </w:rPr>
          <w:fldChar w:fldCharType="separate"/>
        </w:r>
        <w:r>
          <w:rPr>
            <w:noProof/>
            <w:webHidden/>
          </w:rPr>
          <w:t>5</w:t>
        </w:r>
        <w:r>
          <w:rPr>
            <w:noProof/>
            <w:webHidden/>
          </w:rPr>
          <w:fldChar w:fldCharType="end"/>
        </w:r>
      </w:hyperlink>
    </w:p>
    <w:p w14:paraId="4716D926" w14:textId="77777777" w:rsidR="00A8239D" w:rsidRDefault="00A8239D">
      <w:pPr>
        <w:pStyle w:val="TOC3"/>
        <w:tabs>
          <w:tab w:val="right" w:leader="dot" w:pos="9350"/>
        </w:tabs>
        <w:rPr>
          <w:rFonts w:asciiTheme="minorHAnsi" w:eastAsiaTheme="minorEastAsia" w:hAnsiTheme="minorHAnsi" w:cstheme="minorBidi"/>
          <w:noProof/>
          <w:sz w:val="22"/>
          <w:szCs w:val="22"/>
        </w:rPr>
      </w:pPr>
      <w:hyperlink w:anchor="_Toc429494676" w:history="1">
        <w:r w:rsidRPr="00C41393">
          <w:rPr>
            <w:rStyle w:val="Hyperlink"/>
            <w:noProof/>
          </w:rPr>
          <w:t>1.2.1 Fonts</w:t>
        </w:r>
        <w:r>
          <w:rPr>
            <w:noProof/>
            <w:webHidden/>
          </w:rPr>
          <w:tab/>
        </w:r>
        <w:r>
          <w:rPr>
            <w:noProof/>
            <w:webHidden/>
          </w:rPr>
          <w:fldChar w:fldCharType="begin"/>
        </w:r>
        <w:r>
          <w:rPr>
            <w:noProof/>
            <w:webHidden/>
          </w:rPr>
          <w:instrText xml:space="preserve"> PAGEREF _Toc429494676 \h </w:instrText>
        </w:r>
        <w:r>
          <w:rPr>
            <w:noProof/>
            <w:webHidden/>
          </w:rPr>
        </w:r>
        <w:r>
          <w:rPr>
            <w:noProof/>
            <w:webHidden/>
          </w:rPr>
          <w:fldChar w:fldCharType="separate"/>
        </w:r>
        <w:r>
          <w:rPr>
            <w:noProof/>
            <w:webHidden/>
          </w:rPr>
          <w:t>5</w:t>
        </w:r>
        <w:r>
          <w:rPr>
            <w:noProof/>
            <w:webHidden/>
          </w:rPr>
          <w:fldChar w:fldCharType="end"/>
        </w:r>
      </w:hyperlink>
    </w:p>
    <w:p w14:paraId="52957326" w14:textId="77777777" w:rsidR="00A8239D" w:rsidRDefault="00A8239D">
      <w:pPr>
        <w:pStyle w:val="TOC3"/>
        <w:tabs>
          <w:tab w:val="right" w:leader="dot" w:pos="9350"/>
        </w:tabs>
        <w:rPr>
          <w:rFonts w:asciiTheme="minorHAnsi" w:eastAsiaTheme="minorEastAsia" w:hAnsiTheme="minorHAnsi" w:cstheme="minorBidi"/>
          <w:noProof/>
          <w:sz w:val="22"/>
          <w:szCs w:val="22"/>
        </w:rPr>
      </w:pPr>
      <w:hyperlink w:anchor="_Toc429494677" w:history="1">
        <w:r w:rsidRPr="00C41393">
          <w:rPr>
            <w:rStyle w:val="Hyperlink"/>
            <w:noProof/>
          </w:rPr>
          <w:t>1.2.2 UML Package References</w:t>
        </w:r>
        <w:r>
          <w:rPr>
            <w:noProof/>
            <w:webHidden/>
          </w:rPr>
          <w:tab/>
        </w:r>
        <w:r>
          <w:rPr>
            <w:noProof/>
            <w:webHidden/>
          </w:rPr>
          <w:fldChar w:fldCharType="begin"/>
        </w:r>
        <w:r>
          <w:rPr>
            <w:noProof/>
            <w:webHidden/>
          </w:rPr>
          <w:instrText xml:space="preserve"> PAGEREF _Toc429494677 \h </w:instrText>
        </w:r>
        <w:r>
          <w:rPr>
            <w:noProof/>
            <w:webHidden/>
          </w:rPr>
        </w:r>
        <w:r>
          <w:rPr>
            <w:noProof/>
            <w:webHidden/>
          </w:rPr>
          <w:fldChar w:fldCharType="separate"/>
        </w:r>
        <w:r>
          <w:rPr>
            <w:noProof/>
            <w:webHidden/>
          </w:rPr>
          <w:t>5</w:t>
        </w:r>
        <w:r>
          <w:rPr>
            <w:noProof/>
            <w:webHidden/>
          </w:rPr>
          <w:fldChar w:fldCharType="end"/>
        </w:r>
      </w:hyperlink>
    </w:p>
    <w:p w14:paraId="4A6F6BAB" w14:textId="77777777" w:rsidR="00A8239D" w:rsidRDefault="00A8239D">
      <w:pPr>
        <w:pStyle w:val="TOC3"/>
        <w:tabs>
          <w:tab w:val="right" w:leader="dot" w:pos="9350"/>
        </w:tabs>
        <w:rPr>
          <w:rFonts w:asciiTheme="minorHAnsi" w:eastAsiaTheme="minorEastAsia" w:hAnsiTheme="minorHAnsi" w:cstheme="minorBidi"/>
          <w:noProof/>
          <w:sz w:val="22"/>
          <w:szCs w:val="22"/>
        </w:rPr>
      </w:pPr>
      <w:hyperlink w:anchor="_Toc429494678" w:history="1">
        <w:r w:rsidRPr="00C41393">
          <w:rPr>
            <w:rStyle w:val="Hyperlink"/>
            <w:noProof/>
          </w:rPr>
          <w:t>1.2.3 UML Diagrams</w:t>
        </w:r>
        <w:r>
          <w:rPr>
            <w:noProof/>
            <w:webHidden/>
          </w:rPr>
          <w:tab/>
        </w:r>
        <w:r>
          <w:rPr>
            <w:noProof/>
            <w:webHidden/>
          </w:rPr>
          <w:fldChar w:fldCharType="begin"/>
        </w:r>
        <w:r>
          <w:rPr>
            <w:noProof/>
            <w:webHidden/>
          </w:rPr>
          <w:instrText xml:space="preserve"> PAGEREF _Toc429494678 \h </w:instrText>
        </w:r>
        <w:r>
          <w:rPr>
            <w:noProof/>
            <w:webHidden/>
          </w:rPr>
        </w:r>
        <w:r>
          <w:rPr>
            <w:noProof/>
            <w:webHidden/>
          </w:rPr>
          <w:fldChar w:fldCharType="separate"/>
        </w:r>
        <w:r>
          <w:rPr>
            <w:noProof/>
            <w:webHidden/>
          </w:rPr>
          <w:t>5</w:t>
        </w:r>
        <w:r>
          <w:rPr>
            <w:noProof/>
            <w:webHidden/>
          </w:rPr>
          <w:fldChar w:fldCharType="end"/>
        </w:r>
      </w:hyperlink>
    </w:p>
    <w:p w14:paraId="2F826A6B" w14:textId="77777777" w:rsidR="00A8239D" w:rsidRDefault="00A8239D">
      <w:pPr>
        <w:pStyle w:val="TOC4"/>
        <w:tabs>
          <w:tab w:val="right" w:leader="dot" w:pos="9350"/>
        </w:tabs>
        <w:rPr>
          <w:rFonts w:asciiTheme="minorHAnsi" w:eastAsiaTheme="minorEastAsia" w:hAnsiTheme="minorHAnsi" w:cstheme="minorBidi"/>
          <w:noProof/>
          <w:sz w:val="22"/>
          <w:szCs w:val="22"/>
        </w:rPr>
      </w:pPr>
      <w:hyperlink w:anchor="_Toc429494679" w:history="1">
        <w:r w:rsidRPr="00C41393">
          <w:rPr>
            <w:rStyle w:val="Hyperlink"/>
            <w:noProof/>
          </w:rPr>
          <w:t>1.2.3.1 Class Properties</w:t>
        </w:r>
        <w:r>
          <w:rPr>
            <w:noProof/>
            <w:webHidden/>
          </w:rPr>
          <w:tab/>
        </w:r>
        <w:r>
          <w:rPr>
            <w:noProof/>
            <w:webHidden/>
          </w:rPr>
          <w:fldChar w:fldCharType="begin"/>
        </w:r>
        <w:r>
          <w:rPr>
            <w:noProof/>
            <w:webHidden/>
          </w:rPr>
          <w:instrText xml:space="preserve"> PAGEREF _Toc429494679 \h </w:instrText>
        </w:r>
        <w:r>
          <w:rPr>
            <w:noProof/>
            <w:webHidden/>
          </w:rPr>
        </w:r>
        <w:r>
          <w:rPr>
            <w:noProof/>
            <w:webHidden/>
          </w:rPr>
          <w:fldChar w:fldCharType="separate"/>
        </w:r>
        <w:r>
          <w:rPr>
            <w:noProof/>
            <w:webHidden/>
          </w:rPr>
          <w:t>5</w:t>
        </w:r>
        <w:r>
          <w:rPr>
            <w:noProof/>
            <w:webHidden/>
          </w:rPr>
          <w:fldChar w:fldCharType="end"/>
        </w:r>
      </w:hyperlink>
    </w:p>
    <w:p w14:paraId="393968E8" w14:textId="77777777" w:rsidR="00A8239D" w:rsidRDefault="00A8239D">
      <w:pPr>
        <w:pStyle w:val="TOC4"/>
        <w:tabs>
          <w:tab w:val="right" w:leader="dot" w:pos="9350"/>
        </w:tabs>
        <w:rPr>
          <w:rFonts w:asciiTheme="minorHAnsi" w:eastAsiaTheme="minorEastAsia" w:hAnsiTheme="minorHAnsi" w:cstheme="minorBidi"/>
          <w:noProof/>
          <w:sz w:val="22"/>
          <w:szCs w:val="22"/>
        </w:rPr>
      </w:pPr>
      <w:hyperlink w:anchor="_Toc429494680" w:history="1">
        <w:r w:rsidRPr="00C41393">
          <w:rPr>
            <w:rStyle w:val="Hyperlink"/>
            <w:noProof/>
          </w:rPr>
          <w:t>1.2.3.2 Diagram Icons and Arrow Types</w:t>
        </w:r>
        <w:r>
          <w:rPr>
            <w:noProof/>
            <w:webHidden/>
          </w:rPr>
          <w:tab/>
        </w:r>
        <w:r>
          <w:rPr>
            <w:noProof/>
            <w:webHidden/>
          </w:rPr>
          <w:fldChar w:fldCharType="begin"/>
        </w:r>
        <w:r>
          <w:rPr>
            <w:noProof/>
            <w:webHidden/>
          </w:rPr>
          <w:instrText xml:space="preserve"> PAGEREF _Toc429494680 \h </w:instrText>
        </w:r>
        <w:r>
          <w:rPr>
            <w:noProof/>
            <w:webHidden/>
          </w:rPr>
        </w:r>
        <w:r>
          <w:rPr>
            <w:noProof/>
            <w:webHidden/>
          </w:rPr>
          <w:fldChar w:fldCharType="separate"/>
        </w:r>
        <w:r>
          <w:rPr>
            <w:noProof/>
            <w:webHidden/>
          </w:rPr>
          <w:t>6</w:t>
        </w:r>
        <w:r>
          <w:rPr>
            <w:noProof/>
            <w:webHidden/>
          </w:rPr>
          <w:fldChar w:fldCharType="end"/>
        </w:r>
      </w:hyperlink>
    </w:p>
    <w:p w14:paraId="6A7A648B" w14:textId="77777777" w:rsidR="00A8239D" w:rsidRDefault="00A8239D">
      <w:pPr>
        <w:pStyle w:val="TOC4"/>
        <w:tabs>
          <w:tab w:val="right" w:leader="dot" w:pos="9350"/>
        </w:tabs>
        <w:rPr>
          <w:rFonts w:asciiTheme="minorHAnsi" w:eastAsiaTheme="minorEastAsia" w:hAnsiTheme="minorHAnsi" w:cstheme="minorBidi"/>
          <w:noProof/>
          <w:sz w:val="22"/>
          <w:szCs w:val="22"/>
        </w:rPr>
      </w:pPr>
      <w:hyperlink w:anchor="_Toc429494681" w:history="1">
        <w:r w:rsidRPr="00C41393">
          <w:rPr>
            <w:rStyle w:val="Hyperlink"/>
            <w:noProof/>
          </w:rPr>
          <w:t>1.2.3.3 Color Coding</w:t>
        </w:r>
        <w:r>
          <w:rPr>
            <w:noProof/>
            <w:webHidden/>
          </w:rPr>
          <w:tab/>
        </w:r>
        <w:r>
          <w:rPr>
            <w:noProof/>
            <w:webHidden/>
          </w:rPr>
          <w:fldChar w:fldCharType="begin"/>
        </w:r>
        <w:r>
          <w:rPr>
            <w:noProof/>
            <w:webHidden/>
          </w:rPr>
          <w:instrText xml:space="preserve"> PAGEREF _Toc429494681 \h </w:instrText>
        </w:r>
        <w:r>
          <w:rPr>
            <w:noProof/>
            <w:webHidden/>
          </w:rPr>
        </w:r>
        <w:r>
          <w:rPr>
            <w:noProof/>
            <w:webHidden/>
          </w:rPr>
          <w:fldChar w:fldCharType="separate"/>
        </w:r>
        <w:r>
          <w:rPr>
            <w:noProof/>
            <w:webHidden/>
          </w:rPr>
          <w:t>6</w:t>
        </w:r>
        <w:r>
          <w:rPr>
            <w:noProof/>
            <w:webHidden/>
          </w:rPr>
          <w:fldChar w:fldCharType="end"/>
        </w:r>
      </w:hyperlink>
    </w:p>
    <w:p w14:paraId="747027A6" w14:textId="77777777" w:rsidR="00A8239D" w:rsidRDefault="00A8239D">
      <w:pPr>
        <w:pStyle w:val="TOC3"/>
        <w:tabs>
          <w:tab w:val="right" w:leader="dot" w:pos="9350"/>
        </w:tabs>
        <w:rPr>
          <w:rFonts w:asciiTheme="minorHAnsi" w:eastAsiaTheme="minorEastAsia" w:hAnsiTheme="minorHAnsi" w:cstheme="minorBidi"/>
          <w:noProof/>
          <w:sz w:val="22"/>
          <w:szCs w:val="22"/>
        </w:rPr>
      </w:pPr>
      <w:hyperlink w:anchor="_Toc429494682" w:history="1">
        <w:r w:rsidRPr="00C41393">
          <w:rPr>
            <w:rStyle w:val="Hyperlink"/>
            <w:noProof/>
          </w:rPr>
          <w:t>1.2.4 Property Table Notation</w:t>
        </w:r>
        <w:r>
          <w:rPr>
            <w:noProof/>
            <w:webHidden/>
          </w:rPr>
          <w:tab/>
        </w:r>
        <w:r>
          <w:rPr>
            <w:noProof/>
            <w:webHidden/>
          </w:rPr>
          <w:fldChar w:fldCharType="begin"/>
        </w:r>
        <w:r>
          <w:rPr>
            <w:noProof/>
            <w:webHidden/>
          </w:rPr>
          <w:instrText xml:space="preserve"> PAGEREF _Toc429494682 \h </w:instrText>
        </w:r>
        <w:r>
          <w:rPr>
            <w:noProof/>
            <w:webHidden/>
          </w:rPr>
        </w:r>
        <w:r>
          <w:rPr>
            <w:noProof/>
            <w:webHidden/>
          </w:rPr>
          <w:fldChar w:fldCharType="separate"/>
        </w:r>
        <w:r>
          <w:rPr>
            <w:noProof/>
            <w:webHidden/>
          </w:rPr>
          <w:t>6</w:t>
        </w:r>
        <w:r>
          <w:rPr>
            <w:noProof/>
            <w:webHidden/>
          </w:rPr>
          <w:fldChar w:fldCharType="end"/>
        </w:r>
      </w:hyperlink>
    </w:p>
    <w:p w14:paraId="0DADEE83" w14:textId="77777777" w:rsidR="00A8239D" w:rsidRDefault="00A8239D">
      <w:pPr>
        <w:pStyle w:val="TOC3"/>
        <w:tabs>
          <w:tab w:val="right" w:leader="dot" w:pos="9350"/>
        </w:tabs>
        <w:rPr>
          <w:rFonts w:asciiTheme="minorHAnsi" w:eastAsiaTheme="minorEastAsia" w:hAnsiTheme="minorHAnsi" w:cstheme="minorBidi"/>
          <w:noProof/>
          <w:sz w:val="22"/>
          <w:szCs w:val="22"/>
        </w:rPr>
      </w:pPr>
      <w:hyperlink w:anchor="_Toc429494683" w:history="1">
        <w:r w:rsidRPr="00C41393">
          <w:rPr>
            <w:rStyle w:val="Hyperlink"/>
            <w:noProof/>
          </w:rPr>
          <w:t>1.2.5 Property and Class Descriptions</w:t>
        </w:r>
        <w:r>
          <w:rPr>
            <w:noProof/>
            <w:webHidden/>
          </w:rPr>
          <w:tab/>
        </w:r>
        <w:r>
          <w:rPr>
            <w:noProof/>
            <w:webHidden/>
          </w:rPr>
          <w:fldChar w:fldCharType="begin"/>
        </w:r>
        <w:r>
          <w:rPr>
            <w:noProof/>
            <w:webHidden/>
          </w:rPr>
          <w:instrText xml:space="preserve"> PAGEREF _Toc429494683 \h </w:instrText>
        </w:r>
        <w:r>
          <w:rPr>
            <w:noProof/>
            <w:webHidden/>
          </w:rPr>
        </w:r>
        <w:r>
          <w:rPr>
            <w:noProof/>
            <w:webHidden/>
          </w:rPr>
          <w:fldChar w:fldCharType="separate"/>
        </w:r>
        <w:r>
          <w:rPr>
            <w:noProof/>
            <w:webHidden/>
          </w:rPr>
          <w:t>7</w:t>
        </w:r>
        <w:r>
          <w:rPr>
            <w:noProof/>
            <w:webHidden/>
          </w:rPr>
          <w:fldChar w:fldCharType="end"/>
        </w:r>
      </w:hyperlink>
    </w:p>
    <w:p w14:paraId="64A3DDF2"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84" w:history="1">
        <w:r w:rsidRPr="00C41393">
          <w:rPr>
            <w:rStyle w:val="Hyperlink"/>
            <w:noProof/>
          </w:rPr>
          <w:t>1.3 Terminology</w:t>
        </w:r>
        <w:r>
          <w:rPr>
            <w:noProof/>
            <w:webHidden/>
          </w:rPr>
          <w:tab/>
        </w:r>
        <w:r>
          <w:rPr>
            <w:noProof/>
            <w:webHidden/>
          </w:rPr>
          <w:fldChar w:fldCharType="begin"/>
        </w:r>
        <w:r>
          <w:rPr>
            <w:noProof/>
            <w:webHidden/>
          </w:rPr>
          <w:instrText xml:space="preserve"> PAGEREF _Toc429494684 \h </w:instrText>
        </w:r>
        <w:r>
          <w:rPr>
            <w:noProof/>
            <w:webHidden/>
          </w:rPr>
        </w:r>
        <w:r>
          <w:rPr>
            <w:noProof/>
            <w:webHidden/>
          </w:rPr>
          <w:fldChar w:fldCharType="separate"/>
        </w:r>
        <w:r>
          <w:rPr>
            <w:noProof/>
            <w:webHidden/>
          </w:rPr>
          <w:t>8</w:t>
        </w:r>
        <w:r>
          <w:rPr>
            <w:noProof/>
            <w:webHidden/>
          </w:rPr>
          <w:fldChar w:fldCharType="end"/>
        </w:r>
      </w:hyperlink>
    </w:p>
    <w:p w14:paraId="7D867C41"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85" w:history="1">
        <w:r w:rsidRPr="00C41393">
          <w:rPr>
            <w:rStyle w:val="Hyperlink"/>
            <w:noProof/>
          </w:rPr>
          <w:t>1.4 Normative References</w:t>
        </w:r>
        <w:r>
          <w:rPr>
            <w:noProof/>
            <w:webHidden/>
          </w:rPr>
          <w:tab/>
        </w:r>
        <w:r>
          <w:rPr>
            <w:noProof/>
            <w:webHidden/>
          </w:rPr>
          <w:fldChar w:fldCharType="begin"/>
        </w:r>
        <w:r>
          <w:rPr>
            <w:noProof/>
            <w:webHidden/>
          </w:rPr>
          <w:instrText xml:space="preserve"> PAGEREF _Toc429494685 \h </w:instrText>
        </w:r>
        <w:r>
          <w:rPr>
            <w:noProof/>
            <w:webHidden/>
          </w:rPr>
        </w:r>
        <w:r>
          <w:rPr>
            <w:noProof/>
            <w:webHidden/>
          </w:rPr>
          <w:fldChar w:fldCharType="separate"/>
        </w:r>
        <w:r>
          <w:rPr>
            <w:noProof/>
            <w:webHidden/>
          </w:rPr>
          <w:t>8</w:t>
        </w:r>
        <w:r>
          <w:rPr>
            <w:noProof/>
            <w:webHidden/>
          </w:rPr>
          <w:fldChar w:fldCharType="end"/>
        </w:r>
      </w:hyperlink>
    </w:p>
    <w:p w14:paraId="2B59C6AC" w14:textId="77777777" w:rsidR="00A8239D" w:rsidRDefault="00A8239D">
      <w:pPr>
        <w:pStyle w:val="TOC1"/>
        <w:rPr>
          <w:rFonts w:asciiTheme="minorHAnsi" w:eastAsiaTheme="minorEastAsia" w:hAnsiTheme="minorHAnsi" w:cstheme="minorBidi"/>
          <w:noProof/>
          <w:sz w:val="22"/>
          <w:szCs w:val="22"/>
        </w:rPr>
      </w:pPr>
      <w:hyperlink w:anchor="_Toc429494686" w:history="1">
        <w:r w:rsidRPr="00C41393">
          <w:rPr>
            <w:rStyle w:val="Hyperlink"/>
            <w:noProof/>
          </w:rPr>
          <w:t>2</w:t>
        </w:r>
        <w:r>
          <w:rPr>
            <w:rFonts w:asciiTheme="minorHAnsi" w:eastAsiaTheme="minorEastAsia" w:hAnsiTheme="minorHAnsi" w:cstheme="minorBidi"/>
            <w:noProof/>
            <w:sz w:val="22"/>
            <w:szCs w:val="22"/>
          </w:rPr>
          <w:tab/>
        </w:r>
        <w:r w:rsidRPr="00C41393">
          <w:rPr>
            <w:rStyle w:val="Hyperlink"/>
            <w:noProof/>
          </w:rPr>
          <w:t>Background Information</w:t>
        </w:r>
        <w:r>
          <w:rPr>
            <w:noProof/>
            <w:webHidden/>
          </w:rPr>
          <w:tab/>
        </w:r>
        <w:r>
          <w:rPr>
            <w:noProof/>
            <w:webHidden/>
          </w:rPr>
          <w:fldChar w:fldCharType="begin"/>
        </w:r>
        <w:r>
          <w:rPr>
            <w:noProof/>
            <w:webHidden/>
          </w:rPr>
          <w:instrText xml:space="preserve"> PAGEREF _Toc429494686 \h </w:instrText>
        </w:r>
        <w:r>
          <w:rPr>
            <w:noProof/>
            <w:webHidden/>
          </w:rPr>
        </w:r>
        <w:r>
          <w:rPr>
            <w:noProof/>
            <w:webHidden/>
          </w:rPr>
          <w:fldChar w:fldCharType="separate"/>
        </w:r>
        <w:r>
          <w:rPr>
            <w:noProof/>
            <w:webHidden/>
          </w:rPr>
          <w:t>9</w:t>
        </w:r>
        <w:r>
          <w:rPr>
            <w:noProof/>
            <w:webHidden/>
          </w:rPr>
          <w:fldChar w:fldCharType="end"/>
        </w:r>
      </w:hyperlink>
    </w:p>
    <w:p w14:paraId="2E276E1B"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87" w:history="1">
        <w:r w:rsidRPr="00C41393">
          <w:rPr>
            <w:rStyle w:val="Hyperlink"/>
            <w:noProof/>
          </w:rPr>
          <w:t>2.1 Campaign-Related Component Data Models</w:t>
        </w:r>
        <w:r>
          <w:rPr>
            <w:noProof/>
            <w:webHidden/>
          </w:rPr>
          <w:tab/>
        </w:r>
        <w:r>
          <w:rPr>
            <w:noProof/>
            <w:webHidden/>
          </w:rPr>
          <w:fldChar w:fldCharType="begin"/>
        </w:r>
        <w:r>
          <w:rPr>
            <w:noProof/>
            <w:webHidden/>
          </w:rPr>
          <w:instrText xml:space="preserve"> PAGEREF _Toc429494687 \h </w:instrText>
        </w:r>
        <w:r>
          <w:rPr>
            <w:noProof/>
            <w:webHidden/>
          </w:rPr>
        </w:r>
        <w:r>
          <w:rPr>
            <w:noProof/>
            <w:webHidden/>
          </w:rPr>
          <w:fldChar w:fldCharType="separate"/>
        </w:r>
        <w:r>
          <w:rPr>
            <w:noProof/>
            <w:webHidden/>
          </w:rPr>
          <w:t>9</w:t>
        </w:r>
        <w:r>
          <w:rPr>
            <w:noProof/>
            <w:webHidden/>
          </w:rPr>
          <w:fldChar w:fldCharType="end"/>
        </w:r>
      </w:hyperlink>
    </w:p>
    <w:p w14:paraId="39B7CF6F" w14:textId="77777777" w:rsidR="00A8239D" w:rsidRDefault="00A8239D">
      <w:pPr>
        <w:pStyle w:val="TOC1"/>
        <w:rPr>
          <w:rFonts w:asciiTheme="minorHAnsi" w:eastAsiaTheme="minorEastAsia" w:hAnsiTheme="minorHAnsi" w:cstheme="minorBidi"/>
          <w:noProof/>
          <w:sz w:val="22"/>
          <w:szCs w:val="22"/>
        </w:rPr>
      </w:pPr>
      <w:hyperlink w:anchor="_Toc429494688" w:history="1">
        <w:r w:rsidRPr="00C41393">
          <w:rPr>
            <w:rStyle w:val="Hyperlink"/>
            <w:noProof/>
          </w:rPr>
          <w:t>3</w:t>
        </w:r>
        <w:r>
          <w:rPr>
            <w:rFonts w:asciiTheme="minorHAnsi" w:eastAsiaTheme="minorEastAsia" w:hAnsiTheme="minorHAnsi" w:cstheme="minorBidi"/>
            <w:noProof/>
            <w:sz w:val="22"/>
            <w:szCs w:val="22"/>
          </w:rPr>
          <w:tab/>
        </w:r>
        <w:r w:rsidRPr="00C41393">
          <w:rPr>
            <w:rStyle w:val="Hyperlink"/>
            <w:noProof/>
          </w:rPr>
          <w:t>STIX Campaign Data Model</w:t>
        </w:r>
        <w:r>
          <w:rPr>
            <w:noProof/>
            <w:webHidden/>
          </w:rPr>
          <w:tab/>
        </w:r>
        <w:r>
          <w:rPr>
            <w:noProof/>
            <w:webHidden/>
          </w:rPr>
          <w:fldChar w:fldCharType="begin"/>
        </w:r>
        <w:r>
          <w:rPr>
            <w:noProof/>
            <w:webHidden/>
          </w:rPr>
          <w:instrText xml:space="preserve"> PAGEREF _Toc429494688 \h </w:instrText>
        </w:r>
        <w:r>
          <w:rPr>
            <w:noProof/>
            <w:webHidden/>
          </w:rPr>
        </w:r>
        <w:r>
          <w:rPr>
            <w:noProof/>
            <w:webHidden/>
          </w:rPr>
          <w:fldChar w:fldCharType="separate"/>
        </w:r>
        <w:r>
          <w:rPr>
            <w:noProof/>
            <w:webHidden/>
          </w:rPr>
          <w:t>11</w:t>
        </w:r>
        <w:r>
          <w:rPr>
            <w:noProof/>
            <w:webHidden/>
          </w:rPr>
          <w:fldChar w:fldCharType="end"/>
        </w:r>
      </w:hyperlink>
    </w:p>
    <w:p w14:paraId="5B9DB60E"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89" w:history="1">
        <w:r w:rsidRPr="00C41393">
          <w:rPr>
            <w:rStyle w:val="Hyperlink"/>
            <w:noProof/>
          </w:rPr>
          <w:t>3.1 CampaignVersionType Enumeration</w:t>
        </w:r>
        <w:r>
          <w:rPr>
            <w:noProof/>
            <w:webHidden/>
          </w:rPr>
          <w:tab/>
        </w:r>
        <w:r>
          <w:rPr>
            <w:noProof/>
            <w:webHidden/>
          </w:rPr>
          <w:fldChar w:fldCharType="begin"/>
        </w:r>
        <w:r>
          <w:rPr>
            <w:noProof/>
            <w:webHidden/>
          </w:rPr>
          <w:instrText xml:space="preserve"> PAGEREF _Toc429494689 \h </w:instrText>
        </w:r>
        <w:r>
          <w:rPr>
            <w:noProof/>
            <w:webHidden/>
          </w:rPr>
        </w:r>
        <w:r>
          <w:rPr>
            <w:noProof/>
            <w:webHidden/>
          </w:rPr>
          <w:fldChar w:fldCharType="separate"/>
        </w:r>
        <w:r>
          <w:rPr>
            <w:noProof/>
            <w:webHidden/>
          </w:rPr>
          <w:t>14</w:t>
        </w:r>
        <w:r>
          <w:rPr>
            <w:noProof/>
            <w:webHidden/>
          </w:rPr>
          <w:fldChar w:fldCharType="end"/>
        </w:r>
      </w:hyperlink>
    </w:p>
    <w:p w14:paraId="4C5E2408"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90" w:history="1">
        <w:r w:rsidRPr="00C41393">
          <w:rPr>
            <w:rStyle w:val="Hyperlink"/>
            <w:noProof/>
          </w:rPr>
          <w:t>3.2 NamesType Class</w:t>
        </w:r>
        <w:r>
          <w:rPr>
            <w:noProof/>
            <w:webHidden/>
          </w:rPr>
          <w:tab/>
        </w:r>
        <w:r>
          <w:rPr>
            <w:noProof/>
            <w:webHidden/>
          </w:rPr>
          <w:fldChar w:fldCharType="begin"/>
        </w:r>
        <w:r>
          <w:rPr>
            <w:noProof/>
            <w:webHidden/>
          </w:rPr>
          <w:instrText xml:space="preserve"> PAGEREF _Toc429494690 \h </w:instrText>
        </w:r>
        <w:r>
          <w:rPr>
            <w:noProof/>
            <w:webHidden/>
          </w:rPr>
        </w:r>
        <w:r>
          <w:rPr>
            <w:noProof/>
            <w:webHidden/>
          </w:rPr>
          <w:fldChar w:fldCharType="separate"/>
        </w:r>
        <w:r>
          <w:rPr>
            <w:noProof/>
            <w:webHidden/>
          </w:rPr>
          <w:t>15</w:t>
        </w:r>
        <w:r>
          <w:rPr>
            <w:noProof/>
            <w:webHidden/>
          </w:rPr>
          <w:fldChar w:fldCharType="end"/>
        </w:r>
      </w:hyperlink>
    </w:p>
    <w:p w14:paraId="529924CA"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91" w:history="1">
        <w:r w:rsidRPr="00C41393">
          <w:rPr>
            <w:rStyle w:val="Hyperlink"/>
            <w:noProof/>
          </w:rPr>
          <w:t>3.3 RelatedTTPsType Class</w:t>
        </w:r>
        <w:r>
          <w:rPr>
            <w:noProof/>
            <w:webHidden/>
          </w:rPr>
          <w:tab/>
        </w:r>
        <w:r>
          <w:rPr>
            <w:noProof/>
            <w:webHidden/>
          </w:rPr>
          <w:fldChar w:fldCharType="begin"/>
        </w:r>
        <w:r>
          <w:rPr>
            <w:noProof/>
            <w:webHidden/>
          </w:rPr>
          <w:instrText xml:space="preserve"> PAGEREF _Toc429494691 \h </w:instrText>
        </w:r>
        <w:r>
          <w:rPr>
            <w:noProof/>
            <w:webHidden/>
          </w:rPr>
        </w:r>
        <w:r>
          <w:rPr>
            <w:noProof/>
            <w:webHidden/>
          </w:rPr>
          <w:fldChar w:fldCharType="separate"/>
        </w:r>
        <w:r>
          <w:rPr>
            <w:noProof/>
            <w:webHidden/>
          </w:rPr>
          <w:t>15</w:t>
        </w:r>
        <w:r>
          <w:rPr>
            <w:noProof/>
            <w:webHidden/>
          </w:rPr>
          <w:fldChar w:fldCharType="end"/>
        </w:r>
      </w:hyperlink>
    </w:p>
    <w:p w14:paraId="58254A13"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92" w:history="1">
        <w:r w:rsidRPr="00C41393">
          <w:rPr>
            <w:rStyle w:val="Hyperlink"/>
            <w:noProof/>
          </w:rPr>
          <w:t>3.4 RelatedIncidentsType Class</w:t>
        </w:r>
        <w:r>
          <w:rPr>
            <w:noProof/>
            <w:webHidden/>
          </w:rPr>
          <w:tab/>
        </w:r>
        <w:r>
          <w:rPr>
            <w:noProof/>
            <w:webHidden/>
          </w:rPr>
          <w:fldChar w:fldCharType="begin"/>
        </w:r>
        <w:r>
          <w:rPr>
            <w:noProof/>
            <w:webHidden/>
          </w:rPr>
          <w:instrText xml:space="preserve"> PAGEREF _Toc429494692 \h </w:instrText>
        </w:r>
        <w:r>
          <w:rPr>
            <w:noProof/>
            <w:webHidden/>
          </w:rPr>
        </w:r>
        <w:r>
          <w:rPr>
            <w:noProof/>
            <w:webHidden/>
          </w:rPr>
          <w:fldChar w:fldCharType="separate"/>
        </w:r>
        <w:r>
          <w:rPr>
            <w:noProof/>
            <w:webHidden/>
          </w:rPr>
          <w:t>16</w:t>
        </w:r>
        <w:r>
          <w:rPr>
            <w:noProof/>
            <w:webHidden/>
          </w:rPr>
          <w:fldChar w:fldCharType="end"/>
        </w:r>
      </w:hyperlink>
    </w:p>
    <w:p w14:paraId="29979BF0"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93" w:history="1">
        <w:r w:rsidRPr="00C41393">
          <w:rPr>
            <w:rStyle w:val="Hyperlink"/>
            <w:noProof/>
          </w:rPr>
          <w:t>3.5 RelatedIndicatorsType Class (deprecated)</w:t>
        </w:r>
        <w:r>
          <w:rPr>
            <w:noProof/>
            <w:webHidden/>
          </w:rPr>
          <w:tab/>
        </w:r>
        <w:r>
          <w:rPr>
            <w:noProof/>
            <w:webHidden/>
          </w:rPr>
          <w:fldChar w:fldCharType="begin"/>
        </w:r>
        <w:r>
          <w:rPr>
            <w:noProof/>
            <w:webHidden/>
          </w:rPr>
          <w:instrText xml:space="preserve"> PAGEREF _Toc429494693 \h </w:instrText>
        </w:r>
        <w:r>
          <w:rPr>
            <w:noProof/>
            <w:webHidden/>
          </w:rPr>
        </w:r>
        <w:r>
          <w:rPr>
            <w:noProof/>
            <w:webHidden/>
          </w:rPr>
          <w:fldChar w:fldCharType="separate"/>
        </w:r>
        <w:r>
          <w:rPr>
            <w:noProof/>
            <w:webHidden/>
          </w:rPr>
          <w:t>17</w:t>
        </w:r>
        <w:r>
          <w:rPr>
            <w:noProof/>
            <w:webHidden/>
          </w:rPr>
          <w:fldChar w:fldCharType="end"/>
        </w:r>
      </w:hyperlink>
    </w:p>
    <w:p w14:paraId="38460248"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94" w:history="1">
        <w:r w:rsidRPr="00C41393">
          <w:rPr>
            <w:rStyle w:val="Hyperlink"/>
            <w:noProof/>
          </w:rPr>
          <w:t>3.6 AttributionType Class</w:t>
        </w:r>
        <w:r>
          <w:rPr>
            <w:noProof/>
            <w:webHidden/>
          </w:rPr>
          <w:tab/>
        </w:r>
        <w:r>
          <w:rPr>
            <w:noProof/>
            <w:webHidden/>
          </w:rPr>
          <w:fldChar w:fldCharType="begin"/>
        </w:r>
        <w:r>
          <w:rPr>
            <w:noProof/>
            <w:webHidden/>
          </w:rPr>
          <w:instrText xml:space="preserve"> PAGEREF _Toc429494694 \h </w:instrText>
        </w:r>
        <w:r>
          <w:rPr>
            <w:noProof/>
            <w:webHidden/>
          </w:rPr>
        </w:r>
        <w:r>
          <w:rPr>
            <w:noProof/>
            <w:webHidden/>
          </w:rPr>
          <w:fldChar w:fldCharType="separate"/>
        </w:r>
        <w:r>
          <w:rPr>
            <w:noProof/>
            <w:webHidden/>
          </w:rPr>
          <w:t>19</w:t>
        </w:r>
        <w:r>
          <w:rPr>
            <w:noProof/>
            <w:webHidden/>
          </w:rPr>
          <w:fldChar w:fldCharType="end"/>
        </w:r>
      </w:hyperlink>
    </w:p>
    <w:p w14:paraId="70D2518E" w14:textId="77777777" w:rsidR="00A8239D" w:rsidRDefault="00A8239D">
      <w:pPr>
        <w:pStyle w:val="TOC2"/>
        <w:tabs>
          <w:tab w:val="right" w:leader="dot" w:pos="9350"/>
        </w:tabs>
        <w:rPr>
          <w:rFonts w:asciiTheme="minorHAnsi" w:eastAsiaTheme="minorEastAsia" w:hAnsiTheme="minorHAnsi" w:cstheme="minorBidi"/>
          <w:noProof/>
          <w:sz w:val="22"/>
          <w:szCs w:val="22"/>
        </w:rPr>
      </w:pPr>
      <w:hyperlink w:anchor="_Toc429494695" w:history="1">
        <w:r w:rsidRPr="00C41393">
          <w:rPr>
            <w:rStyle w:val="Hyperlink"/>
            <w:noProof/>
          </w:rPr>
          <w:t>3.7 AssociatedCampaignsType Class</w:t>
        </w:r>
        <w:r>
          <w:rPr>
            <w:noProof/>
            <w:webHidden/>
          </w:rPr>
          <w:tab/>
        </w:r>
        <w:r>
          <w:rPr>
            <w:noProof/>
            <w:webHidden/>
          </w:rPr>
          <w:fldChar w:fldCharType="begin"/>
        </w:r>
        <w:r>
          <w:rPr>
            <w:noProof/>
            <w:webHidden/>
          </w:rPr>
          <w:instrText xml:space="preserve"> PAGEREF _Toc429494695 \h </w:instrText>
        </w:r>
        <w:r>
          <w:rPr>
            <w:noProof/>
            <w:webHidden/>
          </w:rPr>
        </w:r>
        <w:r>
          <w:rPr>
            <w:noProof/>
            <w:webHidden/>
          </w:rPr>
          <w:fldChar w:fldCharType="separate"/>
        </w:r>
        <w:r>
          <w:rPr>
            <w:noProof/>
            <w:webHidden/>
          </w:rPr>
          <w:t>20</w:t>
        </w:r>
        <w:r>
          <w:rPr>
            <w:noProof/>
            <w:webHidden/>
          </w:rPr>
          <w:fldChar w:fldCharType="end"/>
        </w:r>
      </w:hyperlink>
    </w:p>
    <w:p w14:paraId="4F8FA6C7" w14:textId="77777777" w:rsidR="00A8239D" w:rsidRDefault="00A8239D">
      <w:pPr>
        <w:pStyle w:val="TOC1"/>
        <w:rPr>
          <w:rFonts w:asciiTheme="minorHAnsi" w:eastAsiaTheme="minorEastAsia" w:hAnsiTheme="minorHAnsi" w:cstheme="minorBidi"/>
          <w:noProof/>
          <w:sz w:val="22"/>
          <w:szCs w:val="22"/>
        </w:rPr>
      </w:pPr>
      <w:hyperlink w:anchor="_Toc429494696" w:history="1">
        <w:r w:rsidRPr="00C41393">
          <w:rPr>
            <w:rStyle w:val="Hyperlink"/>
            <w:noProof/>
          </w:rPr>
          <w:t>4</w:t>
        </w:r>
        <w:r>
          <w:rPr>
            <w:rFonts w:asciiTheme="minorHAnsi" w:eastAsiaTheme="minorEastAsia" w:hAnsiTheme="minorHAnsi" w:cstheme="minorBidi"/>
            <w:noProof/>
            <w:sz w:val="22"/>
            <w:szCs w:val="22"/>
          </w:rPr>
          <w:tab/>
        </w:r>
        <w:r w:rsidRPr="00C41393">
          <w:rPr>
            <w:rStyle w:val="Hyperlink"/>
            <w:noProof/>
          </w:rPr>
          <w:t># Conformance</w:t>
        </w:r>
        <w:r>
          <w:rPr>
            <w:noProof/>
            <w:webHidden/>
          </w:rPr>
          <w:tab/>
        </w:r>
        <w:r>
          <w:rPr>
            <w:noProof/>
            <w:webHidden/>
          </w:rPr>
          <w:fldChar w:fldCharType="begin"/>
        </w:r>
        <w:r>
          <w:rPr>
            <w:noProof/>
            <w:webHidden/>
          </w:rPr>
          <w:instrText xml:space="preserve"> PAGEREF _Toc429494696 \h </w:instrText>
        </w:r>
        <w:r>
          <w:rPr>
            <w:noProof/>
            <w:webHidden/>
          </w:rPr>
        </w:r>
        <w:r>
          <w:rPr>
            <w:noProof/>
            <w:webHidden/>
          </w:rPr>
          <w:fldChar w:fldCharType="separate"/>
        </w:r>
        <w:r>
          <w:rPr>
            <w:noProof/>
            <w:webHidden/>
          </w:rPr>
          <w:t>22</w:t>
        </w:r>
        <w:r>
          <w:rPr>
            <w:noProof/>
            <w:webHidden/>
          </w:rPr>
          <w:fldChar w:fldCharType="end"/>
        </w:r>
      </w:hyperlink>
    </w:p>
    <w:p w14:paraId="54FDF33D" w14:textId="77777777" w:rsidR="00A8239D" w:rsidRDefault="00A8239D">
      <w:pPr>
        <w:pStyle w:val="TOC1"/>
        <w:rPr>
          <w:rFonts w:asciiTheme="minorHAnsi" w:eastAsiaTheme="minorEastAsia" w:hAnsiTheme="minorHAnsi" w:cstheme="minorBidi"/>
          <w:noProof/>
          <w:sz w:val="22"/>
          <w:szCs w:val="22"/>
        </w:rPr>
      </w:pPr>
      <w:hyperlink w:anchor="_Toc429494697" w:history="1">
        <w:r w:rsidRPr="00C41393">
          <w:rPr>
            <w:rStyle w:val="Hyperlink"/>
            <w:noProof/>
          </w:rPr>
          <w:t>Appendix A. Acknowledgments</w:t>
        </w:r>
        <w:r>
          <w:rPr>
            <w:noProof/>
            <w:webHidden/>
          </w:rPr>
          <w:tab/>
        </w:r>
        <w:r>
          <w:rPr>
            <w:noProof/>
            <w:webHidden/>
          </w:rPr>
          <w:fldChar w:fldCharType="begin"/>
        </w:r>
        <w:r>
          <w:rPr>
            <w:noProof/>
            <w:webHidden/>
          </w:rPr>
          <w:instrText xml:space="preserve"> PAGEREF _Toc429494697 \h </w:instrText>
        </w:r>
        <w:r>
          <w:rPr>
            <w:noProof/>
            <w:webHidden/>
          </w:rPr>
        </w:r>
        <w:r>
          <w:rPr>
            <w:noProof/>
            <w:webHidden/>
          </w:rPr>
          <w:fldChar w:fldCharType="separate"/>
        </w:r>
        <w:r>
          <w:rPr>
            <w:noProof/>
            <w:webHidden/>
          </w:rPr>
          <w:t>23</w:t>
        </w:r>
        <w:r>
          <w:rPr>
            <w:noProof/>
            <w:webHidden/>
          </w:rPr>
          <w:fldChar w:fldCharType="end"/>
        </w:r>
      </w:hyperlink>
    </w:p>
    <w:p w14:paraId="2D6947EC" w14:textId="77777777" w:rsidR="00A8239D" w:rsidRDefault="00A8239D">
      <w:pPr>
        <w:pStyle w:val="TOC1"/>
        <w:rPr>
          <w:rFonts w:asciiTheme="minorHAnsi" w:eastAsiaTheme="minorEastAsia" w:hAnsiTheme="minorHAnsi" w:cstheme="minorBidi"/>
          <w:noProof/>
          <w:sz w:val="22"/>
          <w:szCs w:val="22"/>
        </w:rPr>
      </w:pPr>
      <w:hyperlink w:anchor="_Toc429494698" w:history="1">
        <w:r w:rsidRPr="00C41393">
          <w:rPr>
            <w:rStyle w:val="Hyperlink"/>
            <w:noProof/>
          </w:rPr>
          <w:t>Appendix B. Revision History</w:t>
        </w:r>
        <w:r>
          <w:rPr>
            <w:noProof/>
            <w:webHidden/>
          </w:rPr>
          <w:tab/>
        </w:r>
        <w:r>
          <w:rPr>
            <w:noProof/>
            <w:webHidden/>
          </w:rPr>
          <w:fldChar w:fldCharType="begin"/>
        </w:r>
        <w:r>
          <w:rPr>
            <w:noProof/>
            <w:webHidden/>
          </w:rPr>
          <w:instrText xml:space="preserve"> PAGEREF _Toc429494698 \h </w:instrText>
        </w:r>
        <w:r>
          <w:rPr>
            <w:noProof/>
            <w:webHidden/>
          </w:rPr>
        </w:r>
        <w:r>
          <w:rPr>
            <w:noProof/>
            <w:webHidden/>
          </w:rPr>
          <w:fldChar w:fldCharType="separate"/>
        </w:r>
        <w:r>
          <w:rPr>
            <w:noProof/>
            <w:webHidden/>
          </w:rPr>
          <w:t>24</w:t>
        </w:r>
        <w:r>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494673"/>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1.4</w:t>
      </w:r>
      <w:r w:rsidRPr="004B7B4D">
        <w:rPr>
          <w:b/>
          <w:color w:val="0000EE"/>
        </w:rPr>
        <w:fldChar w:fldCharType="end"/>
      </w:r>
      <w:bookmarkStart w:id="5" w:name="_GoBack"/>
      <w:bookmarkEnd w:id="5"/>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29494674"/>
      <w:r>
        <w:t>STIX Specification Documents</w:t>
      </w:r>
      <w:bookmarkEnd w:id="6"/>
      <w:bookmarkEnd w:id="7"/>
      <w:bookmarkEnd w:id="8"/>
      <w:bookmarkEnd w:id="9"/>
      <w:bookmarkEnd w:id="10"/>
      <w:bookmarkEnd w:id="11"/>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Figure 1</w:t>
      </w:r>
      <w:r w:rsidR="004B7B4D" w:rsidRPr="004B7B4D">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77777777" w:rsidR="00BC4FA3" w:rsidRPr="0077567C" w:rsidRDefault="00BC4FA3" w:rsidP="00BC4FA3">
      <w:pPr>
        <w:jc w:val="center"/>
      </w:pPr>
      <w:r>
        <w:rPr>
          <w:noProof/>
        </w:rPr>
        <w:drawing>
          <wp:inline distT="0" distB="0" distL="0" distR="0" wp14:anchorId="317AF843" wp14:editId="5592F955">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1C5B374B" w14:textId="77777777" w:rsidR="00BC4FA3" w:rsidRPr="00484E42" w:rsidRDefault="00BC4FA3" w:rsidP="00484E42">
      <w:pPr>
        <w:pStyle w:val="Caption"/>
      </w:pPr>
      <w:bookmarkStart w:id="12" w:name="_Ref417296017"/>
      <w:r w:rsidRPr="00484E42">
        <w:t xml:space="preserve">Figure </w:t>
      </w:r>
      <w:r w:rsidR="00A8239D">
        <w:fldChar w:fldCharType="begin"/>
      </w:r>
      <w:r w:rsidR="00A8239D">
        <w:instrText xml:space="preserve"> STYLEREF 1 \s </w:instrText>
      </w:r>
      <w:r w:rsidR="00A8239D">
        <w:fldChar w:fldCharType="separate"/>
      </w:r>
      <w:r w:rsidR="004B7B4D">
        <w:rPr>
          <w:noProof/>
        </w:rPr>
        <w:t>1</w:t>
      </w:r>
      <w:r w:rsidR="00A8239D">
        <w:rPr>
          <w:noProof/>
        </w:rPr>
        <w:fldChar w:fldCharType="end"/>
      </w:r>
      <w:r w:rsidRPr="00484E42">
        <w:noBreakHyphen/>
      </w:r>
      <w:r w:rsidR="00A8239D">
        <w:fldChar w:fldCharType="begin"/>
      </w:r>
      <w:r w:rsidR="00A8239D">
        <w:instrText xml:space="preserve"> SEQ Figure \* ARABIC \s 1 </w:instrText>
      </w:r>
      <w:r w:rsidR="00A8239D">
        <w:fldChar w:fldCharType="separate"/>
      </w:r>
      <w:r w:rsidR="004B7B4D">
        <w:rPr>
          <w:noProof/>
        </w:rPr>
        <w:t>1</w:t>
      </w:r>
      <w:r w:rsidR="00A8239D">
        <w:rPr>
          <w:noProof/>
        </w:rPr>
        <w:fldChar w:fldCharType="end"/>
      </w:r>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494675"/>
      <w:r>
        <w:lastRenderedPageBreak/>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494676"/>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494677"/>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494678"/>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494679"/>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494680"/>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Table 1</w:t>
      </w:r>
      <w:r w:rsidR="004B7B4D" w:rsidRPr="004B7B4D">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r w:rsidR="00A8239D">
        <w:fldChar w:fldCharType="begin"/>
      </w:r>
      <w:r w:rsidR="00A8239D">
        <w:instrText xml:space="preserve"> STYLEREF 1 \s </w:instrText>
      </w:r>
      <w:r w:rsidR="00A8239D">
        <w:fldChar w:fldCharType="separate"/>
      </w:r>
      <w:r w:rsidR="004B7B4D">
        <w:rPr>
          <w:noProof/>
        </w:rPr>
        <w:t>1</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1</w:t>
      </w:r>
      <w:r w:rsidR="00A8239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A91BE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A91BE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A91BEB">
            <w:pPr>
              <w:keepNext/>
              <w:keepLines/>
              <w:rPr>
                <w:rFonts w:ascii="Times New Roman" w:hAnsi="Times New Roman"/>
                <w:b/>
                <w:bCs/>
                <w:szCs w:val="20"/>
              </w:rPr>
            </w:pPr>
            <w:r w:rsidRPr="00DD35BA">
              <w:rPr>
                <w:b/>
              </w:rPr>
              <w:t>Description</w:t>
            </w:r>
          </w:p>
        </w:tc>
      </w:tr>
      <w:tr w:rsidR="00BC4FA3" w14:paraId="721A34A3" w14:textId="77777777" w:rsidTr="00A91BEB">
        <w:trPr>
          <w:trHeight w:val="611"/>
          <w:jc w:val="center"/>
        </w:trPr>
        <w:tc>
          <w:tcPr>
            <w:tcW w:w="2065" w:type="dxa"/>
            <w:tcMar>
              <w:top w:w="0" w:type="dxa"/>
              <w:left w:w="108" w:type="dxa"/>
              <w:bottom w:w="0" w:type="dxa"/>
              <w:right w:w="108" w:type="dxa"/>
            </w:tcMar>
            <w:vAlign w:val="center"/>
          </w:tcPr>
          <w:p w14:paraId="480B75EB" w14:textId="49018C42" w:rsidR="00BC4FA3" w:rsidRDefault="00BB26AE" w:rsidP="00A91BEB">
            <w:pPr>
              <w:keepNext/>
              <w:keepLines/>
              <w:jc w:val="center"/>
              <w:rPr>
                <w:rFonts w:ascii="Times New Roman" w:hAnsi="Times New Roman"/>
                <w:noProof/>
                <w:szCs w:val="20"/>
              </w:rPr>
            </w:pPr>
            <w:r>
              <w:rPr>
                <w:rFonts w:ascii="Times New Roman" w:hAnsi="Times New Roman"/>
                <w:noProof/>
                <w:szCs w:val="20"/>
              </w:rPr>
              <w:drawing>
                <wp:inline distT="0" distB="0" distL="0" distR="0" wp14:anchorId="5B6E9C5D" wp14:editId="3D717433">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A91BEB">
            <w:pPr>
              <w:keepNext/>
              <w:keepLines/>
              <w:rPr>
                <w:szCs w:val="22"/>
              </w:rPr>
            </w:pPr>
            <w:r w:rsidRPr="0082327D">
              <w:rPr>
                <w:szCs w:val="22"/>
              </w:rPr>
              <w:t>This diagram icon indicates a class.  If the name is in italics, it is an abstract class.</w:t>
            </w:r>
          </w:p>
        </w:tc>
      </w:tr>
      <w:tr w:rsidR="00BC4FA3" w14:paraId="2EF71313" w14:textId="77777777" w:rsidTr="00A91BEB">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A91BEB">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1pt;height:21pt" o:ole="">
                  <v:imagedata r:id="rId27" o:title=""/>
                </v:shape>
                <o:OLEObject Type="Embed" ProgID="PBrush" ShapeID="_x0000_i1057" DrawAspect="Content" ObjectID="_1503236526" r:id="rId28"/>
              </w:object>
            </w:r>
          </w:p>
        </w:tc>
        <w:tc>
          <w:tcPr>
            <w:tcW w:w="4770" w:type="dxa"/>
            <w:tcMar>
              <w:top w:w="0" w:type="dxa"/>
              <w:left w:w="108" w:type="dxa"/>
              <w:bottom w:w="0" w:type="dxa"/>
              <w:right w:w="108" w:type="dxa"/>
            </w:tcMar>
            <w:vAlign w:val="center"/>
          </w:tcPr>
          <w:p w14:paraId="3E2866A8" w14:textId="77777777" w:rsidR="00BC4FA3" w:rsidRPr="0082327D" w:rsidRDefault="00BC4FA3" w:rsidP="00A91BEB">
            <w:pPr>
              <w:rPr>
                <w:szCs w:val="22"/>
              </w:rPr>
            </w:pPr>
            <w:r w:rsidRPr="0082327D">
              <w:rPr>
                <w:szCs w:val="22"/>
              </w:rPr>
              <w:t>This diagram icon indicates an enumeration.</w:t>
            </w:r>
          </w:p>
        </w:tc>
      </w:tr>
      <w:tr w:rsidR="00BC4FA3" w14:paraId="21F45717" w14:textId="77777777" w:rsidTr="00A91BEB">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A91BEB">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A91BEB">
            <w:pPr>
              <w:rPr>
                <w:szCs w:val="22"/>
              </w:rPr>
            </w:pPr>
            <w:r w:rsidRPr="0082327D">
              <w:rPr>
                <w:szCs w:val="22"/>
              </w:rPr>
              <w:t>This diagram icon indicates a data type.</w:t>
            </w:r>
            <w:r w:rsidRPr="00974896">
              <w:rPr>
                <w:noProof/>
              </w:rPr>
              <w:t xml:space="preserve"> </w:t>
            </w:r>
          </w:p>
        </w:tc>
      </w:tr>
      <w:tr w:rsidR="00BC4FA3" w14:paraId="04D23E52" w14:textId="77777777" w:rsidTr="00A91BEB">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A91BEB">
            <w:pPr>
              <w:jc w:val="center"/>
              <w:rPr>
                <w:rFonts w:ascii="Times New Roman" w:hAnsi="Times New Roman"/>
                <w:noProof/>
                <w:szCs w:val="20"/>
              </w:rPr>
            </w:pPr>
            <w:r>
              <w:object w:dxaOrig="270" w:dyaOrig="195" w14:anchorId="666098B2">
                <v:shape id="_x0000_i1058" type="#_x0000_t75" style="width:14.25pt;height:14.25pt" o:ole="">
                  <v:imagedata r:id="rId30" o:title=""/>
                </v:shape>
                <o:OLEObject Type="Embed" ProgID="PBrush" ShapeID="_x0000_i1058" DrawAspect="Content" ObjectID="_1503236527" r:id="rId31"/>
              </w:object>
            </w:r>
          </w:p>
        </w:tc>
        <w:tc>
          <w:tcPr>
            <w:tcW w:w="4770" w:type="dxa"/>
            <w:tcMar>
              <w:top w:w="0" w:type="dxa"/>
              <w:left w:w="108" w:type="dxa"/>
              <w:bottom w:w="0" w:type="dxa"/>
              <w:right w:w="108" w:type="dxa"/>
            </w:tcMar>
            <w:vAlign w:val="center"/>
          </w:tcPr>
          <w:p w14:paraId="5069C5B3" w14:textId="77777777" w:rsidR="00BC4FA3" w:rsidRPr="0082327D" w:rsidRDefault="00BC4FA3" w:rsidP="00A91BEB">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A91BEB">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A91BEB">
            <w:pPr>
              <w:jc w:val="center"/>
              <w:rPr>
                <w:rFonts w:ascii="Times New Roman" w:hAnsi="Times New Roman"/>
                <w:noProof/>
                <w:szCs w:val="20"/>
              </w:rPr>
            </w:pPr>
            <w:r>
              <w:object w:dxaOrig="210" w:dyaOrig="150" w14:anchorId="22CECF5E">
                <v:shape id="_x0000_i1059" type="#_x0000_t75" style="width:14.25pt;height:14.25pt" o:ole="">
                  <v:imagedata r:id="rId32" o:title=""/>
                </v:shape>
                <o:OLEObject Type="Embed" ProgID="PBrush" ShapeID="_x0000_i1059" DrawAspect="Content" ObjectID="_1503236528" r:id="rId33"/>
              </w:object>
            </w:r>
          </w:p>
        </w:tc>
        <w:tc>
          <w:tcPr>
            <w:tcW w:w="4770" w:type="dxa"/>
            <w:tcMar>
              <w:top w:w="0" w:type="dxa"/>
              <w:left w:w="108" w:type="dxa"/>
              <w:bottom w:w="0" w:type="dxa"/>
              <w:right w:w="108" w:type="dxa"/>
            </w:tcMar>
            <w:vAlign w:val="center"/>
          </w:tcPr>
          <w:p w14:paraId="6ADC8185" w14:textId="77777777" w:rsidR="00BC4FA3" w:rsidRPr="0082327D" w:rsidRDefault="00BC4FA3" w:rsidP="00A91BEB">
            <w:pPr>
              <w:rPr>
                <w:szCs w:val="22"/>
              </w:rPr>
            </w:pPr>
            <w:r w:rsidRPr="0082327D">
              <w:rPr>
                <w:szCs w:val="22"/>
              </w:rPr>
              <w:t>This decorator icon indicates an enumeration literal.</w:t>
            </w:r>
          </w:p>
        </w:tc>
      </w:tr>
      <w:tr w:rsidR="00BC4FA3" w14:paraId="41FEC7A2" w14:textId="77777777" w:rsidTr="00A91BEB">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A91BEB">
            <w:pPr>
              <w:jc w:val="center"/>
            </w:pPr>
            <w:r>
              <w:rPr>
                <w:noProof/>
              </w:rPr>
              <mc:AlternateContent>
                <mc:Choice Requires="wps">
                  <w:drawing>
                    <wp:anchor distT="0" distB="0" distL="114300" distR="114300" simplePos="0" relativeHeight="251659264"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04BC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A91BEB">
            <w:pPr>
              <w:rPr>
                <w:szCs w:val="22"/>
              </w:rPr>
            </w:pPr>
            <w:r w:rsidRPr="0082327D">
              <w:rPr>
                <w:szCs w:val="22"/>
              </w:rPr>
              <w:t>This arrow type indicates a directed association relationship.</w:t>
            </w:r>
          </w:p>
        </w:tc>
      </w:tr>
      <w:tr w:rsidR="00BC4FA3" w14:paraId="427FAABD" w14:textId="77777777" w:rsidTr="00A91BEB">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A91BEB">
            <w:pPr>
              <w:jc w:val="center"/>
            </w:pPr>
            <w:r w:rsidRPr="00FD2389">
              <w:rPr>
                <w:color w:val="000000" w:themeColor="text1"/>
              </w:rPr>
              <w:object w:dxaOrig="1140" w:dyaOrig="780" w14:anchorId="3DE23640">
                <v:shape id="_x0000_i1060" type="#_x0000_t75" style="width:57.75pt;height:35.25pt" o:ole="">
                  <v:imagedata r:id="rId34" o:title=""/>
                </v:shape>
                <o:OLEObject Type="Embed" ProgID="PBrush" ShapeID="_x0000_i1060" DrawAspect="Content" ObjectID="_1503236529" r:id="rId35"/>
              </w:object>
            </w:r>
          </w:p>
        </w:tc>
        <w:tc>
          <w:tcPr>
            <w:tcW w:w="4770" w:type="dxa"/>
            <w:tcMar>
              <w:top w:w="0" w:type="dxa"/>
              <w:left w:w="108" w:type="dxa"/>
              <w:bottom w:w="0" w:type="dxa"/>
              <w:right w:w="108" w:type="dxa"/>
            </w:tcMar>
            <w:vAlign w:val="center"/>
          </w:tcPr>
          <w:p w14:paraId="5E140E91" w14:textId="77777777" w:rsidR="00BC4FA3" w:rsidRPr="0082327D" w:rsidRDefault="00BC4FA3" w:rsidP="00A91BEB">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494681"/>
      <w:r w:rsidRPr="0082327D">
        <w:rPr>
          <w:sz w:val="20"/>
        </w:rPr>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1</w:t>
      </w:r>
      <w:r w:rsidR="004B7B4D" w:rsidRPr="001C7D12">
        <w:rPr>
          <w:b/>
          <w:color w:val="0000EE"/>
        </w:rPr>
        <w:noBreakHyphen/>
      </w:r>
      <w:r w:rsidR="004B7B4D" w:rsidRPr="001C7D12">
        <w:rPr>
          <w:b/>
          <w:noProof/>
          <w:color w:val="0000EE"/>
        </w:rPr>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r w:rsidR="00A8239D">
        <w:fldChar w:fldCharType="begin"/>
      </w:r>
      <w:r w:rsidR="00A8239D">
        <w:instrText xml:space="preserve"> STYLEREF 1 \s </w:instrText>
      </w:r>
      <w:r w:rsidR="00A8239D">
        <w:fldChar w:fldCharType="separate"/>
      </w:r>
      <w:r w:rsidR="004B7B4D">
        <w:rPr>
          <w:noProof/>
        </w:rPr>
        <w:t>1</w:t>
      </w:r>
      <w:r w:rsidR="00A8239D">
        <w:rPr>
          <w:noProof/>
        </w:rPr>
        <w:fldChar w:fldCharType="end"/>
      </w:r>
      <w:r>
        <w:noBreakHyphen/>
      </w:r>
      <w:r w:rsidR="00A8239D">
        <w:fldChar w:fldCharType="begin"/>
      </w:r>
      <w:r w:rsidR="00A8239D">
        <w:instrText xml:space="preserve"> SEQ Figure \* ARABIC \s 1 </w:instrText>
      </w:r>
      <w:r w:rsidR="00A8239D">
        <w:fldChar w:fldCharType="separate"/>
      </w:r>
      <w:r w:rsidR="004B7B4D">
        <w:rPr>
          <w:noProof/>
        </w:rPr>
        <w:t>2</w:t>
      </w:r>
      <w:r w:rsidR="00A8239D">
        <w:rPr>
          <w:noProof/>
        </w:rPr>
        <w:fldChar w:fldCharType="end"/>
      </w:r>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494682"/>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lastRenderedPageBreak/>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4B7B4D">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494683"/>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A91BEB">
        <w:tc>
          <w:tcPr>
            <w:tcW w:w="1435" w:type="dxa"/>
            <w:shd w:val="clear" w:color="auto" w:fill="BFBFBF" w:themeFill="background1" w:themeFillShade="BF"/>
            <w:vAlign w:val="center"/>
          </w:tcPr>
          <w:p w14:paraId="75AAC59D" w14:textId="77777777" w:rsidR="00BC4FA3" w:rsidRPr="005330B0" w:rsidRDefault="00BC4FA3" w:rsidP="00A91BEB">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A91BEB">
            <w:pPr>
              <w:rPr>
                <w:b/>
              </w:rPr>
            </w:pPr>
            <w:r w:rsidRPr="005330B0">
              <w:rPr>
                <w:b/>
              </w:rPr>
              <w:t>STIX Definition</w:t>
            </w:r>
          </w:p>
        </w:tc>
      </w:tr>
      <w:tr w:rsidR="00BC4FA3" w14:paraId="2E8B6271" w14:textId="77777777" w:rsidTr="00A91BEB">
        <w:tc>
          <w:tcPr>
            <w:tcW w:w="1435" w:type="dxa"/>
            <w:vAlign w:val="center"/>
          </w:tcPr>
          <w:p w14:paraId="0D1510F9" w14:textId="77777777" w:rsidR="00BC4FA3" w:rsidRPr="00366C71" w:rsidRDefault="00BC4FA3" w:rsidP="00A91BEB">
            <w:pPr>
              <w:rPr>
                <w:u w:val="single"/>
              </w:rPr>
            </w:pPr>
            <w:r w:rsidRPr="00366C71">
              <w:rPr>
                <w:u w:val="single"/>
              </w:rPr>
              <w:t>capture</w:t>
            </w:r>
            <w:r>
              <w:rPr>
                <w:u w:val="single"/>
              </w:rPr>
              <w:t>s</w:t>
            </w:r>
          </w:p>
        </w:tc>
        <w:tc>
          <w:tcPr>
            <w:tcW w:w="7470" w:type="dxa"/>
            <w:vAlign w:val="center"/>
          </w:tcPr>
          <w:p w14:paraId="7C38EA8F" w14:textId="77777777" w:rsidR="00BC4FA3" w:rsidRDefault="00BC4FA3" w:rsidP="00A91BEB">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A91BEB">
        <w:tc>
          <w:tcPr>
            <w:tcW w:w="1435" w:type="dxa"/>
            <w:vAlign w:val="center"/>
          </w:tcPr>
          <w:p w14:paraId="344C5182" w14:textId="77777777" w:rsidR="00BC4FA3" w:rsidRDefault="00BC4FA3" w:rsidP="00A91BEB"/>
        </w:tc>
        <w:tc>
          <w:tcPr>
            <w:tcW w:w="7470" w:type="dxa"/>
            <w:vAlign w:val="center"/>
          </w:tcPr>
          <w:p w14:paraId="6EDFB480" w14:textId="77777777" w:rsidR="00BC4FA3" w:rsidRDefault="00BC4FA3" w:rsidP="00A91BEB">
            <w:r w:rsidRPr="00B67328">
              <w:rPr>
                <w:i/>
              </w:rPr>
              <w:t>Examples</w:t>
            </w:r>
            <w:r>
              <w:t>:</w:t>
            </w:r>
          </w:p>
          <w:p w14:paraId="171C8F42" w14:textId="77777777" w:rsidR="00BC4FA3" w:rsidRDefault="00BC4FA3" w:rsidP="00A91BE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DB09B16" w14:textId="77777777" w:rsidR="00BC4FA3" w:rsidRPr="0082327D" w:rsidRDefault="00BC4FA3" w:rsidP="00A91BEB">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A91BEB">
        <w:tc>
          <w:tcPr>
            <w:tcW w:w="1435" w:type="dxa"/>
            <w:vAlign w:val="center"/>
          </w:tcPr>
          <w:p w14:paraId="4D44B9AE" w14:textId="77777777" w:rsidR="00BC4FA3" w:rsidRPr="00366C71" w:rsidRDefault="00BC4FA3" w:rsidP="00A91BEB">
            <w:pPr>
              <w:rPr>
                <w:u w:val="single"/>
              </w:rPr>
            </w:pPr>
            <w:r w:rsidRPr="00366C71">
              <w:rPr>
                <w:u w:val="single"/>
              </w:rPr>
              <w:t>characterize</w:t>
            </w:r>
            <w:r>
              <w:rPr>
                <w:u w:val="single"/>
              </w:rPr>
              <w:t>s</w:t>
            </w:r>
          </w:p>
        </w:tc>
        <w:tc>
          <w:tcPr>
            <w:tcW w:w="7470" w:type="dxa"/>
            <w:vAlign w:val="center"/>
          </w:tcPr>
          <w:p w14:paraId="60941CE1" w14:textId="77777777" w:rsidR="00BC4FA3" w:rsidRPr="005330B0" w:rsidRDefault="00BC4FA3" w:rsidP="00A91BEB">
            <w:r>
              <w:t>Describes the distinctive nature or features of a class or property.  Often used to describe classes and properties that themselves comprise one or more other properties.</w:t>
            </w:r>
          </w:p>
        </w:tc>
      </w:tr>
      <w:tr w:rsidR="00BC4FA3" w14:paraId="44648AC0" w14:textId="77777777" w:rsidTr="00A91BEB">
        <w:trPr>
          <w:cantSplit/>
        </w:trPr>
        <w:tc>
          <w:tcPr>
            <w:tcW w:w="1435" w:type="dxa"/>
            <w:vAlign w:val="center"/>
          </w:tcPr>
          <w:p w14:paraId="76FF579F" w14:textId="77777777" w:rsidR="00BC4FA3" w:rsidRPr="00DD38CD" w:rsidRDefault="00BC4FA3" w:rsidP="00A91BEB"/>
        </w:tc>
        <w:tc>
          <w:tcPr>
            <w:tcW w:w="7470" w:type="dxa"/>
            <w:vAlign w:val="center"/>
          </w:tcPr>
          <w:p w14:paraId="3CD16FDD" w14:textId="77777777" w:rsidR="00BC4FA3" w:rsidRDefault="00BC4FA3" w:rsidP="00A91BEB">
            <w:r w:rsidRPr="00B67328">
              <w:rPr>
                <w:i/>
              </w:rPr>
              <w:t>Example</w:t>
            </w:r>
            <w:r>
              <w:t>:</w:t>
            </w:r>
          </w:p>
          <w:p w14:paraId="49BD49ED" w14:textId="77777777" w:rsidR="00BC4FA3" w:rsidRDefault="00BC4FA3" w:rsidP="00A91BE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A91BEB">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A91BEB">
        <w:tc>
          <w:tcPr>
            <w:tcW w:w="1435" w:type="dxa"/>
            <w:vAlign w:val="center"/>
          </w:tcPr>
          <w:p w14:paraId="602BB00E" w14:textId="77777777" w:rsidR="00BC4FA3" w:rsidRPr="00366C71" w:rsidRDefault="00BC4FA3" w:rsidP="00A91BEB">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A91BEB">
            <w:r>
              <w:t xml:space="preserve">Used to clearly and precisely identify particular instances or values associated with a property.  Often used for properties that are defined by a controlled vocabulary or enumeration; typically used for properties that take on only a single </w:t>
            </w:r>
            <w:r>
              <w:lastRenderedPageBreak/>
              <w:t>value.</w:t>
            </w:r>
          </w:p>
        </w:tc>
      </w:tr>
      <w:tr w:rsidR="00BC4FA3" w14:paraId="03DEFBDA" w14:textId="77777777" w:rsidTr="00A91BEB">
        <w:tc>
          <w:tcPr>
            <w:tcW w:w="1435" w:type="dxa"/>
            <w:vAlign w:val="center"/>
          </w:tcPr>
          <w:p w14:paraId="05F9AC1B" w14:textId="77777777" w:rsidR="00BC4FA3" w:rsidRPr="00D3144C" w:rsidRDefault="00BC4FA3" w:rsidP="00A91BEB"/>
        </w:tc>
        <w:tc>
          <w:tcPr>
            <w:tcW w:w="7470" w:type="dxa"/>
            <w:vAlign w:val="center"/>
          </w:tcPr>
          <w:p w14:paraId="564C3FA1" w14:textId="77777777" w:rsidR="00BC4FA3" w:rsidRDefault="00BC4FA3" w:rsidP="00A91BEB">
            <w:r w:rsidRPr="00B67328">
              <w:rPr>
                <w:i/>
              </w:rPr>
              <w:t>Example</w:t>
            </w:r>
            <w:r>
              <w:t>:</w:t>
            </w:r>
          </w:p>
          <w:p w14:paraId="4631E9B1" w14:textId="77777777" w:rsidR="00BC4FA3" w:rsidRDefault="00BC4FA3" w:rsidP="00A91BE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494684"/>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4B7B4D" w:rsidRPr="004B7B4D">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494685"/>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494686"/>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494687"/>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2</w:t>
      </w:r>
      <w:r w:rsidR="004B7B4D" w:rsidRPr="001C7D12">
        <w:rPr>
          <w:b/>
          <w:color w:val="0000EE"/>
        </w:rPr>
        <w:noBreakHyphen/>
      </w:r>
      <w:r w:rsidR="004B7B4D" w:rsidRPr="001C7D12">
        <w:rPr>
          <w:b/>
          <w:noProof/>
          <w:color w:val="0000EE"/>
        </w:rPr>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r w:rsidR="00A8239D">
        <w:fldChar w:fldCharType="begin"/>
      </w:r>
      <w:r w:rsidR="00A8239D">
        <w:instrText xml:space="preserve"> STYLEREF 1 \s </w:instrText>
      </w:r>
      <w:r w:rsidR="00A8239D">
        <w:fldChar w:fldCharType="separate"/>
      </w:r>
      <w:r w:rsidR="004B7B4D">
        <w:rPr>
          <w:noProof/>
        </w:rPr>
        <w:t>2</w:t>
      </w:r>
      <w:r w:rsidR="00A8239D">
        <w:rPr>
          <w:noProof/>
        </w:rPr>
        <w:fldChar w:fldCharType="end"/>
      </w:r>
      <w:r>
        <w:noBreakHyphen/>
      </w:r>
      <w:r w:rsidR="00A8239D">
        <w:fldChar w:fldCharType="begin"/>
      </w:r>
      <w:r w:rsidR="00A8239D">
        <w:instrText xml:space="preserve"> SEQ Figure \* ARABIC \s 1 </w:instrText>
      </w:r>
      <w:r w:rsidR="00A8239D">
        <w:fldChar w:fldCharType="separate"/>
      </w:r>
      <w:r w:rsidR="004B7B4D">
        <w:rPr>
          <w:noProof/>
        </w:rPr>
        <w:t>1</w:t>
      </w:r>
      <w:r w:rsidR="00A8239D">
        <w:rPr>
          <w:noProof/>
        </w:rPr>
        <w:fldChar w:fldCharType="end"/>
      </w:r>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7B7039FF" w:rsidR="00BC4FA3" w:rsidRDefault="00706B50" w:rsidP="00BC4FA3">
      <w:pPr>
        <w:spacing w:after="240"/>
        <w:ind w:left="720"/>
      </w:pPr>
      <w:ins w:id="64" w:author="Beck, Desiree A." w:date="2015-09-04T10:11:00Z">
        <w:r>
          <w:t xml:space="preserve">STIX </w:t>
        </w:r>
      </w:ins>
      <w:r w:rsidR="00BC4FA3">
        <w:t>Version 1.2</w:t>
      </w:r>
      <w:ins w:id="65" w:author="Beck, Desiree A." w:date="2015-09-04T10:11:00Z">
        <w:r>
          <w:t>.1</w:t>
        </w:r>
      </w:ins>
      <w:r w:rsidR="00BC4FA3">
        <w:t xml:space="preserve"> of the Campaign data model references the Indicator data model as a means </w:t>
      </w:r>
      <w:commentRangeStart w:id="66"/>
      <w:r w:rsidR="00BC4FA3">
        <w:t>of</w:t>
      </w:r>
      <w:commentRangeEnd w:id="66"/>
      <w:r>
        <w:rPr>
          <w:rStyle w:val="CommentReference"/>
        </w:rPr>
        <w:commentReference w:id="66"/>
      </w:r>
      <w:r w:rsidR="00BC4FA3">
        <w:t xml:space="preserve"> referring to indicators relevant to the Campaign.  Beginning in </w:t>
      </w:r>
      <w:del w:id="67" w:author="Beck, Desiree A." w:date="2015-09-04T10:11:00Z">
        <w:r w:rsidR="00BC4FA3" w:rsidDel="00706B50">
          <w:delText xml:space="preserve">Campaign </w:delText>
        </w:r>
      </w:del>
      <w:ins w:id="68" w:author="Beck, Desiree A." w:date="2015-09-04T10:11:00Z">
        <w:r>
          <w:t xml:space="preserve">STIX </w:t>
        </w:r>
      </w:ins>
      <w:r w:rsidR="00BC4FA3">
        <w:t xml:space="preserve">Version 1.1, this reference relationship was deprecated; however, it remains in </w:t>
      </w:r>
      <w:ins w:id="69" w:author="Beck, Desiree A." w:date="2015-09-04T10:12:00Z">
        <w:r>
          <w:t xml:space="preserve">STIX </w:t>
        </w:r>
      </w:ins>
      <w:r w:rsidR="00BC4FA3">
        <w:t>v1.2</w:t>
      </w:r>
      <w:ins w:id="70" w:author="Beck, Desiree A." w:date="2015-09-04T10:11:00Z">
        <w:r>
          <w:t>.1</w:t>
        </w:r>
      </w:ins>
      <w:r w:rsidR="00BC4FA3">
        <w:t xml:space="preserve"> for backward compatibility. The relationship will be removed in </w:t>
      </w:r>
      <w:del w:id="71" w:author="Beck, Desiree A." w:date="2015-09-04T10:11:00Z">
        <w:r w:rsidR="00BC4FA3" w:rsidDel="00706B50">
          <w:delText xml:space="preserve">Campaign </w:delText>
        </w:r>
      </w:del>
      <w:ins w:id="72" w:author="Beck, Desiree A." w:date="2015-09-04T10:11:00Z">
        <w:r>
          <w:t xml:space="preserve">STIX </w:t>
        </w:r>
      </w:ins>
      <w:r w:rsidR="00BC4FA3">
        <w:t xml:space="preserve">Version 2.0.  </w:t>
      </w:r>
    </w:p>
    <w:p w14:paraId="34118178" w14:textId="1B6DE939" w:rsidR="00BC4FA3" w:rsidRDefault="00BC4FA3" w:rsidP="00BC4FA3">
      <w:pPr>
        <w:spacing w:after="240"/>
        <w:ind w:left="720"/>
      </w:pPr>
      <w:r>
        <w:lastRenderedPageBreak/>
        <w:t xml:space="preserve">Under </w:t>
      </w:r>
      <w:ins w:id="73" w:author="Beck, Desiree A." w:date="2015-09-04T10:12:00Z">
        <w:r w:rsidR="00706B50">
          <w:t xml:space="preserve">STIX </w:t>
        </w:r>
      </w:ins>
      <w:r>
        <w:t>Version 1.2</w:t>
      </w:r>
      <w:ins w:id="74" w:author="Beck, Desiree A." w:date="2015-09-04T10:12:00Z">
        <w:r w:rsidR="00706B50">
          <w:t>.1</w:t>
        </w:r>
      </w:ins>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4B7B4D" w:rsidRPr="008B3A11">
        <w:rPr>
          <w:b/>
          <w:color w:val="0000EE"/>
        </w:rPr>
        <w:t xml:space="preserve">Figure </w:t>
      </w:r>
      <w:r w:rsidR="004B7B4D" w:rsidRPr="008B3A11">
        <w:rPr>
          <w:b/>
          <w:noProof/>
          <w:color w:val="0000EE"/>
        </w:rPr>
        <w:t>2</w:t>
      </w:r>
      <w:r w:rsidR="004B7B4D" w:rsidRPr="008B3A11">
        <w:rPr>
          <w:b/>
          <w:color w:val="0000EE"/>
        </w:rPr>
        <w:noBreakHyphen/>
      </w:r>
      <w:r w:rsidR="004B7B4D" w:rsidRPr="008B3A11">
        <w:rPr>
          <w:b/>
          <w:noProof/>
          <w:color w:val="0000EE"/>
        </w:rPr>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75" w:name="_Toc389570593"/>
      <w:bookmarkStart w:id="76" w:name="_Toc389581063"/>
      <w:bookmarkStart w:id="77"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75"/>
      <w:bookmarkEnd w:id="76"/>
      <w:bookmarkEnd w:id="77"/>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78" w:name="_Toc287332011"/>
    </w:p>
    <w:p w14:paraId="5A511655" w14:textId="77777777" w:rsidR="00801F69" w:rsidRDefault="00801F69" w:rsidP="00FD22AC">
      <w:pPr>
        <w:pStyle w:val="Heading1"/>
      </w:pPr>
      <w:bookmarkStart w:id="79" w:name="_Ref429123417"/>
      <w:bookmarkStart w:id="80" w:name="_Toc429494688"/>
      <w:r>
        <w:lastRenderedPageBreak/>
        <w:t>STIX Campaign Data Model</w:t>
      </w:r>
      <w:bookmarkEnd w:id="79"/>
      <w:bookmarkEnd w:id="80"/>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81" w:name="_Ref394447695"/>
      <w:r w:rsidRPr="0086379B">
        <w:t xml:space="preserve">Figure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Figure \* ARABIC \s 1 </w:instrText>
      </w:r>
      <w:r w:rsidR="00A8239D">
        <w:fldChar w:fldCharType="separate"/>
      </w:r>
      <w:r w:rsidR="004B7B4D">
        <w:rPr>
          <w:noProof/>
        </w:rPr>
        <w:t>1</w:t>
      </w:r>
      <w:r w:rsidR="00A8239D">
        <w:rPr>
          <w:noProof/>
        </w:rPr>
        <w:fldChar w:fldCharType="end"/>
      </w:r>
      <w:bookmarkEnd w:id="81"/>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4B7B4D" w:rsidRPr="005B6158">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4B7B4D" w:rsidRPr="005B6158">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82" w:name="_Ref391380115"/>
      <w:r w:rsidRPr="00C96A2E">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1</w:t>
      </w:r>
      <w:r w:rsidR="00A8239D">
        <w:rPr>
          <w:noProof/>
        </w:rPr>
        <w:fldChar w:fldCharType="end"/>
      </w:r>
      <w:bookmarkEnd w:id="82"/>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A91BEB">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A91BEB">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A91BEB">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A91BEB">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A91BEB">
            <w:pPr>
              <w:rPr>
                <w:b/>
              </w:rPr>
            </w:pPr>
            <w:r w:rsidRPr="0082327D">
              <w:rPr>
                <w:b/>
              </w:rPr>
              <w:t>version</w:t>
            </w:r>
          </w:p>
        </w:tc>
        <w:tc>
          <w:tcPr>
            <w:tcW w:w="3780" w:type="dxa"/>
            <w:vAlign w:val="center"/>
          </w:tcPr>
          <w:p w14:paraId="6A64AC65" w14:textId="77777777" w:rsidR="00801F69" w:rsidRPr="009B3EC0" w:rsidRDefault="00801F69" w:rsidP="00A91BEB">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A91BEB">
            <w:pPr>
              <w:jc w:val="center"/>
              <w:rPr>
                <w:sz w:val="22"/>
              </w:rPr>
            </w:pPr>
            <w:r w:rsidRPr="0082327D">
              <w:t>0..1</w:t>
            </w:r>
          </w:p>
        </w:tc>
        <w:tc>
          <w:tcPr>
            <w:tcW w:w="6030" w:type="dxa"/>
            <w:vAlign w:val="center"/>
          </w:tcPr>
          <w:p w14:paraId="4EC5C808" w14:textId="77777777" w:rsidR="00801F69" w:rsidRPr="0082327D" w:rsidRDefault="00801F69" w:rsidP="00A91BEB">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A91BEB">
            <w:pPr>
              <w:rPr>
                <w:b/>
              </w:rPr>
            </w:pPr>
            <w:r w:rsidRPr="0082327D">
              <w:rPr>
                <w:b/>
              </w:rPr>
              <w:t>Title</w:t>
            </w:r>
          </w:p>
        </w:tc>
        <w:tc>
          <w:tcPr>
            <w:tcW w:w="3780" w:type="dxa"/>
            <w:vAlign w:val="center"/>
          </w:tcPr>
          <w:p w14:paraId="738F6AB9" w14:textId="77777777" w:rsidR="00801F69" w:rsidRPr="002F5578" w:rsidRDefault="00801F69" w:rsidP="00A91BEB">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A91BEB">
            <w:pPr>
              <w:jc w:val="center"/>
              <w:rPr>
                <w:sz w:val="22"/>
              </w:rPr>
            </w:pPr>
            <w:r w:rsidRPr="0082327D">
              <w:t>0..1</w:t>
            </w:r>
          </w:p>
        </w:tc>
        <w:tc>
          <w:tcPr>
            <w:tcW w:w="6030" w:type="dxa"/>
            <w:vAlign w:val="center"/>
          </w:tcPr>
          <w:p w14:paraId="37B2B776"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A91BEB">
            <w:pPr>
              <w:rPr>
                <w:b/>
              </w:rPr>
            </w:pPr>
            <w:r w:rsidRPr="0082327D">
              <w:rPr>
                <w:b/>
              </w:rPr>
              <w:t>Description</w:t>
            </w:r>
          </w:p>
        </w:tc>
        <w:tc>
          <w:tcPr>
            <w:tcW w:w="3780" w:type="dxa"/>
            <w:vAlign w:val="center"/>
          </w:tcPr>
          <w:p w14:paraId="5C19B41F"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A91BEB">
            <w:pPr>
              <w:jc w:val="center"/>
              <w:rPr>
                <w:sz w:val="22"/>
              </w:rPr>
            </w:pPr>
            <w:r w:rsidRPr="0082327D">
              <w:t>0..*</w:t>
            </w:r>
          </w:p>
        </w:tc>
        <w:tc>
          <w:tcPr>
            <w:tcW w:w="6030" w:type="dxa"/>
            <w:vAlign w:val="center"/>
          </w:tcPr>
          <w:p w14:paraId="1F46EEE5" w14:textId="77777777" w:rsidR="00801F69" w:rsidRPr="0082327D" w:rsidRDefault="00801F69" w:rsidP="00A91BEB">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A91BEB">
            <w:pPr>
              <w:rPr>
                <w:b/>
              </w:rPr>
            </w:pPr>
            <w:r w:rsidRPr="0082327D">
              <w:rPr>
                <w:b/>
              </w:rPr>
              <w:t>Short_Description</w:t>
            </w:r>
          </w:p>
        </w:tc>
        <w:tc>
          <w:tcPr>
            <w:tcW w:w="3780" w:type="dxa"/>
            <w:vAlign w:val="center"/>
          </w:tcPr>
          <w:p w14:paraId="783720DB"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A91BEB">
            <w:pPr>
              <w:jc w:val="center"/>
              <w:rPr>
                <w:sz w:val="22"/>
              </w:rPr>
            </w:pPr>
            <w:r w:rsidRPr="0082327D">
              <w:t>0..*</w:t>
            </w:r>
          </w:p>
        </w:tc>
        <w:tc>
          <w:tcPr>
            <w:tcW w:w="6030" w:type="dxa"/>
            <w:vAlign w:val="center"/>
          </w:tcPr>
          <w:p w14:paraId="3F0A8896"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A91BEB">
            <w:pPr>
              <w:rPr>
                <w:b/>
              </w:rPr>
            </w:pPr>
            <w:r w:rsidRPr="0082327D">
              <w:rPr>
                <w:b/>
              </w:rPr>
              <w:t>Names</w:t>
            </w:r>
          </w:p>
        </w:tc>
        <w:tc>
          <w:tcPr>
            <w:tcW w:w="3780" w:type="dxa"/>
            <w:vAlign w:val="center"/>
          </w:tcPr>
          <w:p w14:paraId="1AFEF4CC" w14:textId="77777777" w:rsidR="00801F69" w:rsidRDefault="00801F69" w:rsidP="00A91BEB">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A91BEB">
            <w:pPr>
              <w:jc w:val="center"/>
              <w:rPr>
                <w:sz w:val="22"/>
              </w:rPr>
            </w:pPr>
            <w:r w:rsidRPr="0082327D">
              <w:t>0..1</w:t>
            </w:r>
          </w:p>
        </w:tc>
        <w:tc>
          <w:tcPr>
            <w:tcW w:w="6030" w:type="dxa"/>
            <w:vAlign w:val="center"/>
          </w:tcPr>
          <w:p w14:paraId="5FE0A05A"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A91BEB">
            <w:pPr>
              <w:rPr>
                <w:b/>
              </w:rPr>
            </w:pPr>
            <w:r w:rsidRPr="0082327D">
              <w:rPr>
                <w:b/>
              </w:rPr>
              <w:t>Intended_Effect</w:t>
            </w:r>
          </w:p>
        </w:tc>
        <w:tc>
          <w:tcPr>
            <w:tcW w:w="3780" w:type="dxa"/>
            <w:vAlign w:val="center"/>
          </w:tcPr>
          <w:p w14:paraId="344CBA21" w14:textId="77777777" w:rsidR="00801F69" w:rsidRDefault="00801F69" w:rsidP="00A91BEB">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A91BEB">
            <w:pPr>
              <w:jc w:val="center"/>
              <w:rPr>
                <w:sz w:val="22"/>
              </w:rPr>
            </w:pPr>
            <w:r w:rsidRPr="0082327D">
              <w:t>0..*</w:t>
            </w:r>
          </w:p>
        </w:tc>
        <w:tc>
          <w:tcPr>
            <w:tcW w:w="6030" w:type="dxa"/>
            <w:vAlign w:val="center"/>
          </w:tcPr>
          <w:p w14:paraId="0F444BF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A91BEB">
            <w:pPr>
              <w:rPr>
                <w:b/>
              </w:rPr>
            </w:pPr>
            <w:r w:rsidRPr="0082327D">
              <w:rPr>
                <w:b/>
              </w:rPr>
              <w:lastRenderedPageBreak/>
              <w:t>Status</w:t>
            </w:r>
          </w:p>
        </w:tc>
        <w:tc>
          <w:tcPr>
            <w:tcW w:w="3780" w:type="dxa"/>
            <w:vAlign w:val="center"/>
          </w:tcPr>
          <w:p w14:paraId="4F94B29D" w14:textId="77777777" w:rsidR="00801F69" w:rsidRDefault="00801F69" w:rsidP="00A91BEB">
            <w:pPr>
              <w:rPr>
                <w:rFonts w:ascii="Courier New" w:hAnsi="Courier New" w:cs="Courier New"/>
              </w:rPr>
            </w:pPr>
            <w:r>
              <w:rPr>
                <w:rFonts w:ascii="Courier New" w:hAnsi="Courier New" w:cs="Courier New"/>
              </w:rPr>
              <w:t>stixCommon:</w:t>
            </w:r>
          </w:p>
          <w:p w14:paraId="1694FE5D" w14:textId="77777777" w:rsidR="00801F69" w:rsidRDefault="00801F69" w:rsidP="00A91BEB">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A91BEB">
            <w:pPr>
              <w:jc w:val="center"/>
              <w:rPr>
                <w:sz w:val="22"/>
              </w:rPr>
            </w:pPr>
            <w:r w:rsidRPr="0082327D">
              <w:t>0..1</w:t>
            </w:r>
          </w:p>
        </w:tc>
        <w:tc>
          <w:tcPr>
            <w:tcW w:w="6030" w:type="dxa"/>
            <w:vAlign w:val="center"/>
          </w:tcPr>
          <w:p w14:paraId="27126303"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A91BEB">
            <w:pPr>
              <w:rPr>
                <w:b/>
              </w:rPr>
            </w:pPr>
            <w:r w:rsidRPr="0082327D">
              <w:rPr>
                <w:b/>
              </w:rPr>
              <w:t>Related_TTPs</w:t>
            </w:r>
          </w:p>
        </w:tc>
        <w:tc>
          <w:tcPr>
            <w:tcW w:w="3780" w:type="dxa"/>
            <w:vAlign w:val="center"/>
          </w:tcPr>
          <w:p w14:paraId="1F6AB4CA" w14:textId="77777777" w:rsidR="00801F69" w:rsidRDefault="00801F69" w:rsidP="00A91BEB">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A91BEB">
            <w:pPr>
              <w:jc w:val="center"/>
              <w:rPr>
                <w:sz w:val="22"/>
              </w:rPr>
            </w:pPr>
            <w:r w:rsidRPr="0082327D">
              <w:t>0..1</w:t>
            </w:r>
          </w:p>
        </w:tc>
        <w:tc>
          <w:tcPr>
            <w:tcW w:w="6030" w:type="dxa"/>
            <w:vAlign w:val="center"/>
          </w:tcPr>
          <w:p w14:paraId="188D1DDD"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A91BEB">
            <w:pPr>
              <w:rPr>
                <w:b/>
              </w:rPr>
            </w:pPr>
            <w:r w:rsidRPr="0082327D">
              <w:rPr>
                <w:b/>
              </w:rPr>
              <w:t>Related_Incidents</w:t>
            </w:r>
          </w:p>
        </w:tc>
        <w:tc>
          <w:tcPr>
            <w:tcW w:w="3780" w:type="dxa"/>
            <w:vAlign w:val="center"/>
          </w:tcPr>
          <w:p w14:paraId="231CF6AE" w14:textId="77777777" w:rsidR="00801F69" w:rsidRDefault="00801F69" w:rsidP="00A91BEB">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A91BEB">
            <w:pPr>
              <w:jc w:val="center"/>
              <w:rPr>
                <w:sz w:val="22"/>
              </w:rPr>
            </w:pPr>
            <w:r w:rsidRPr="0082327D">
              <w:t>0..1</w:t>
            </w:r>
          </w:p>
        </w:tc>
        <w:tc>
          <w:tcPr>
            <w:tcW w:w="6030" w:type="dxa"/>
            <w:vAlign w:val="center"/>
          </w:tcPr>
          <w:p w14:paraId="38BF914E"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A91BEB">
            <w:pPr>
              <w:rPr>
                <w:b/>
              </w:rPr>
            </w:pPr>
            <w:r w:rsidRPr="0082327D">
              <w:rPr>
                <w:b/>
              </w:rPr>
              <w:t>Related_Indicators</w:t>
            </w:r>
          </w:p>
        </w:tc>
        <w:tc>
          <w:tcPr>
            <w:tcW w:w="3780" w:type="dxa"/>
            <w:vAlign w:val="center"/>
          </w:tcPr>
          <w:p w14:paraId="1E092752" w14:textId="77777777" w:rsidR="00801F69" w:rsidRDefault="00801F69" w:rsidP="00A91BEB">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A91BEB">
            <w:pPr>
              <w:jc w:val="center"/>
              <w:rPr>
                <w:sz w:val="22"/>
              </w:rPr>
            </w:pPr>
            <w:r w:rsidRPr="0082327D">
              <w:t>0..1</w:t>
            </w:r>
          </w:p>
        </w:tc>
        <w:tc>
          <w:tcPr>
            <w:tcW w:w="6030" w:type="dxa"/>
            <w:vAlign w:val="center"/>
          </w:tcPr>
          <w:p w14:paraId="1A7F75AF"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4B7B4D" w:rsidRPr="00F34008">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A91BEB">
            <w:pPr>
              <w:rPr>
                <w:b/>
              </w:rPr>
            </w:pPr>
            <w:r w:rsidRPr="0082327D">
              <w:rPr>
                <w:b/>
              </w:rPr>
              <w:t>Attribution</w:t>
            </w:r>
          </w:p>
        </w:tc>
        <w:tc>
          <w:tcPr>
            <w:tcW w:w="3780" w:type="dxa"/>
            <w:vAlign w:val="center"/>
          </w:tcPr>
          <w:p w14:paraId="25C52541" w14:textId="77777777" w:rsidR="00801F69" w:rsidRDefault="00801F69" w:rsidP="00A91BEB">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A91BEB">
            <w:pPr>
              <w:jc w:val="center"/>
              <w:rPr>
                <w:sz w:val="22"/>
              </w:rPr>
            </w:pPr>
            <w:r w:rsidRPr="0082327D">
              <w:t>0..*</w:t>
            </w:r>
          </w:p>
        </w:tc>
        <w:tc>
          <w:tcPr>
            <w:tcW w:w="6030" w:type="dxa"/>
            <w:vAlign w:val="center"/>
          </w:tcPr>
          <w:p w14:paraId="1A232F79"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A91BEB">
            <w:pPr>
              <w:rPr>
                <w:b/>
              </w:rPr>
            </w:pPr>
            <w:r w:rsidRPr="0082327D">
              <w:rPr>
                <w:b/>
              </w:rPr>
              <w:lastRenderedPageBreak/>
              <w:t>Associated_Campaigns</w:t>
            </w:r>
          </w:p>
        </w:tc>
        <w:tc>
          <w:tcPr>
            <w:tcW w:w="3780" w:type="dxa"/>
            <w:vAlign w:val="center"/>
          </w:tcPr>
          <w:p w14:paraId="52650150" w14:textId="77777777" w:rsidR="00801F69" w:rsidRDefault="00801F69" w:rsidP="00A91BEB">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A91BEB">
            <w:pPr>
              <w:jc w:val="center"/>
              <w:rPr>
                <w:sz w:val="22"/>
              </w:rPr>
            </w:pPr>
            <w:r w:rsidRPr="0082327D">
              <w:t>0..1</w:t>
            </w:r>
          </w:p>
        </w:tc>
        <w:tc>
          <w:tcPr>
            <w:tcW w:w="6030" w:type="dxa"/>
            <w:vAlign w:val="center"/>
          </w:tcPr>
          <w:p w14:paraId="269F0419" w14:textId="77777777" w:rsidR="00801F69" w:rsidRPr="0082327D" w:rsidRDefault="00801F69" w:rsidP="00A91BEB">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A91BEB">
            <w:pPr>
              <w:rPr>
                <w:b/>
              </w:rPr>
            </w:pPr>
            <w:r w:rsidRPr="0082327D">
              <w:rPr>
                <w:b/>
              </w:rPr>
              <w:t>Confidence</w:t>
            </w:r>
          </w:p>
        </w:tc>
        <w:tc>
          <w:tcPr>
            <w:tcW w:w="3780" w:type="dxa"/>
            <w:vAlign w:val="center"/>
          </w:tcPr>
          <w:p w14:paraId="0C88ED0F" w14:textId="77777777" w:rsidR="00801F69" w:rsidRDefault="00801F69" w:rsidP="00A91BEB">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A91BEB">
            <w:pPr>
              <w:jc w:val="center"/>
              <w:rPr>
                <w:sz w:val="22"/>
              </w:rPr>
            </w:pPr>
            <w:r w:rsidRPr="0082327D">
              <w:t>0..1</w:t>
            </w:r>
          </w:p>
        </w:tc>
        <w:tc>
          <w:tcPr>
            <w:tcW w:w="6030" w:type="dxa"/>
            <w:vAlign w:val="center"/>
          </w:tcPr>
          <w:p w14:paraId="680E1FE4"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A91BEB">
            <w:pPr>
              <w:rPr>
                <w:b/>
              </w:rPr>
            </w:pPr>
            <w:r w:rsidRPr="0082327D">
              <w:rPr>
                <w:b/>
              </w:rPr>
              <w:t>Activity</w:t>
            </w:r>
          </w:p>
        </w:tc>
        <w:tc>
          <w:tcPr>
            <w:tcW w:w="3780" w:type="dxa"/>
            <w:vAlign w:val="center"/>
          </w:tcPr>
          <w:p w14:paraId="4C2D0C74" w14:textId="77777777" w:rsidR="00801F69" w:rsidRDefault="00801F69" w:rsidP="00A91BEB">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A91BEB">
            <w:pPr>
              <w:jc w:val="center"/>
              <w:rPr>
                <w:sz w:val="22"/>
              </w:rPr>
            </w:pPr>
            <w:r w:rsidRPr="0082327D">
              <w:t>0..*</w:t>
            </w:r>
          </w:p>
        </w:tc>
        <w:tc>
          <w:tcPr>
            <w:tcW w:w="6030" w:type="dxa"/>
            <w:vAlign w:val="center"/>
          </w:tcPr>
          <w:p w14:paraId="77E80151"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A91BEB">
            <w:pPr>
              <w:rPr>
                <w:b/>
              </w:rPr>
            </w:pPr>
            <w:r w:rsidRPr="0082327D">
              <w:rPr>
                <w:b/>
              </w:rPr>
              <w:t>Information_Source</w:t>
            </w:r>
          </w:p>
        </w:tc>
        <w:tc>
          <w:tcPr>
            <w:tcW w:w="3780" w:type="dxa"/>
            <w:vAlign w:val="center"/>
          </w:tcPr>
          <w:p w14:paraId="6B03C5D6" w14:textId="77777777" w:rsidR="00801F69" w:rsidRDefault="00801F69" w:rsidP="00A91BEB">
            <w:pPr>
              <w:rPr>
                <w:rFonts w:ascii="Courier New" w:hAnsi="Courier New" w:cs="Courier New"/>
              </w:rPr>
            </w:pPr>
            <w:r>
              <w:rPr>
                <w:rFonts w:ascii="Courier New" w:hAnsi="Courier New" w:cs="Courier New"/>
              </w:rPr>
              <w:t>stixCommon:</w:t>
            </w:r>
          </w:p>
          <w:p w14:paraId="0AC9A618" w14:textId="77777777" w:rsidR="00801F69" w:rsidRDefault="00801F69" w:rsidP="00A91BEB">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A91BEB">
            <w:pPr>
              <w:jc w:val="center"/>
              <w:rPr>
                <w:sz w:val="22"/>
              </w:rPr>
            </w:pPr>
            <w:r w:rsidRPr="0082327D">
              <w:t>0..1</w:t>
            </w:r>
          </w:p>
        </w:tc>
        <w:tc>
          <w:tcPr>
            <w:tcW w:w="6030" w:type="dxa"/>
            <w:vAlign w:val="center"/>
          </w:tcPr>
          <w:p w14:paraId="0F90662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A91BEB">
            <w:pPr>
              <w:rPr>
                <w:b/>
              </w:rPr>
            </w:pPr>
            <w:r w:rsidRPr="0082327D">
              <w:rPr>
                <w:b/>
              </w:rPr>
              <w:t>Handling</w:t>
            </w:r>
          </w:p>
        </w:tc>
        <w:tc>
          <w:tcPr>
            <w:tcW w:w="3780" w:type="dxa"/>
            <w:vAlign w:val="center"/>
          </w:tcPr>
          <w:p w14:paraId="0795587D" w14:textId="77777777" w:rsidR="00801F69" w:rsidRDefault="00801F69" w:rsidP="00A91BEB">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A91BEB">
            <w:pPr>
              <w:jc w:val="center"/>
              <w:rPr>
                <w:sz w:val="22"/>
              </w:rPr>
            </w:pPr>
            <w:r w:rsidRPr="0082327D">
              <w:t>0..1</w:t>
            </w:r>
          </w:p>
        </w:tc>
        <w:tc>
          <w:tcPr>
            <w:tcW w:w="6030" w:type="dxa"/>
            <w:vAlign w:val="center"/>
          </w:tcPr>
          <w:p w14:paraId="7C6A582E"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A91BEB">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A91BEB">
            <w:pPr>
              <w:rPr>
                <w:rFonts w:ascii="Courier New" w:hAnsi="Courier New" w:cs="Courier New"/>
              </w:rPr>
            </w:pPr>
            <w:r>
              <w:rPr>
                <w:rFonts w:ascii="Courier New" w:hAnsi="Courier New" w:cs="Courier New"/>
              </w:rPr>
              <w:t>stixCommon:</w:t>
            </w:r>
          </w:p>
          <w:p w14:paraId="63E63A70" w14:textId="77777777" w:rsidR="00801F69" w:rsidRDefault="00801F69" w:rsidP="00A91BEB">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A91BEB">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A91BEB">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A91BEB">
            <w:pPr>
              <w:rPr>
                <w:rFonts w:ascii="Courier New" w:hAnsi="Courier New" w:cs="Courier New"/>
                <w:szCs w:val="20"/>
              </w:rPr>
            </w:pPr>
          </w:p>
          <w:p w14:paraId="71795C56" w14:textId="77777777" w:rsidR="00801F69" w:rsidRPr="0082327D" w:rsidRDefault="00801F69" w:rsidP="00A91BEB">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83" w:name="_Ref394446305"/>
      <w:bookmarkStart w:id="84" w:name="_Toc420658345"/>
      <w:bookmarkStart w:id="85" w:name="_Toc429494689"/>
      <w:r>
        <w:t>CampaignVersion</w:t>
      </w:r>
      <w:bookmarkEnd w:id="83"/>
      <w:r>
        <w:t>Type Enumeration</w:t>
      </w:r>
      <w:bookmarkEnd w:id="84"/>
      <w:bookmarkEnd w:id="85"/>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86"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7C7AA7" w:rsidRPr="007C7AA7">
        <w:rPr>
          <w:b/>
          <w:color w:val="0000EE"/>
        </w:rPr>
        <w:t xml:space="preserve">Table </w:t>
      </w:r>
      <w:r w:rsidR="007C7AA7" w:rsidRPr="007C7AA7">
        <w:rPr>
          <w:b/>
          <w:noProof/>
          <w:color w:val="0000EE"/>
        </w:rPr>
        <w:t>3</w:t>
      </w:r>
      <w:r w:rsidR="007C7AA7" w:rsidRPr="007C7AA7">
        <w:rPr>
          <w:b/>
          <w:color w:val="0000EE"/>
        </w:rPr>
        <w:noBreakHyphen/>
      </w:r>
      <w:r w:rsidR="007C7AA7" w:rsidRPr="007C7AA7">
        <w:rPr>
          <w:b/>
          <w:noProof/>
          <w:color w:val="0000EE"/>
        </w:rPr>
        <w:t>2</w:t>
      </w:r>
      <w:r w:rsidR="007C7AA7" w:rsidRPr="007C7AA7">
        <w:rPr>
          <w:b/>
          <w:color w:val="0000EE"/>
        </w:rPr>
        <w:fldChar w:fldCharType="end"/>
      </w:r>
      <w:r>
        <w:t>.</w:t>
      </w:r>
    </w:p>
    <w:p w14:paraId="6495E4B5" w14:textId="77777777" w:rsidR="00801F69" w:rsidRDefault="00801F69" w:rsidP="007C7AA7">
      <w:pPr>
        <w:pStyle w:val="Caption"/>
        <w:keepNext/>
        <w:keepLines/>
      </w:pPr>
      <w:bookmarkStart w:id="87" w:name="_Ref420658526"/>
      <w:r w:rsidRPr="00C96A2E">
        <w:lastRenderedPageBreak/>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2</w:t>
      </w:r>
      <w:r w:rsidR="00A8239D">
        <w:rPr>
          <w:noProof/>
        </w:rPr>
        <w:fldChar w:fldCharType="end"/>
      </w:r>
      <w:bookmarkEnd w:id="86"/>
      <w:bookmarkEnd w:id="87"/>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88" w:name="_Toc420658346"/>
      <w:bookmarkStart w:id="89" w:name="_Toc429494690"/>
      <w:r>
        <w:t>NamesType Class</w:t>
      </w:r>
      <w:bookmarkEnd w:id="88"/>
      <w:bookmarkEnd w:id="89"/>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90" w:name="_Ref391382215"/>
      <w:r w:rsidRPr="00C96A2E">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3</w:t>
      </w:r>
      <w:r w:rsidR="00A8239D">
        <w:rPr>
          <w:noProof/>
        </w:rPr>
        <w:fldChar w:fldCharType="end"/>
      </w:r>
      <w:bookmarkEnd w:id="90"/>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A91BEB">
        <w:trPr>
          <w:trHeight w:val="547"/>
        </w:trPr>
        <w:tc>
          <w:tcPr>
            <w:tcW w:w="1615" w:type="dxa"/>
            <w:shd w:val="clear" w:color="auto" w:fill="BFBFBF" w:themeFill="background1" w:themeFillShade="BF"/>
            <w:vAlign w:val="center"/>
          </w:tcPr>
          <w:p w14:paraId="0A0193FA" w14:textId="77777777" w:rsidR="00801F69" w:rsidRPr="00693F21" w:rsidRDefault="00801F69" w:rsidP="00A91BEB">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A91BEB">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A91BEB">
            <w:pPr>
              <w:rPr>
                <w:b/>
              </w:rPr>
            </w:pPr>
            <w:r w:rsidRPr="00693F21">
              <w:rPr>
                <w:b/>
              </w:rPr>
              <w:t>Description</w:t>
            </w:r>
          </w:p>
        </w:tc>
      </w:tr>
      <w:tr w:rsidR="00801F69" w14:paraId="78727DAA" w14:textId="77777777" w:rsidTr="00A91BEB">
        <w:trPr>
          <w:trHeight w:val="547"/>
        </w:trPr>
        <w:tc>
          <w:tcPr>
            <w:tcW w:w="1615" w:type="dxa"/>
            <w:vAlign w:val="center"/>
          </w:tcPr>
          <w:p w14:paraId="24D896E1" w14:textId="77777777" w:rsidR="00801F69" w:rsidRPr="0082327D" w:rsidRDefault="00801F69" w:rsidP="00A91BEB">
            <w:pPr>
              <w:rPr>
                <w:b/>
              </w:rPr>
            </w:pPr>
            <w:r w:rsidRPr="0082327D">
              <w:rPr>
                <w:b/>
              </w:rPr>
              <w:t>Name</w:t>
            </w:r>
          </w:p>
        </w:tc>
        <w:tc>
          <w:tcPr>
            <w:tcW w:w="3060" w:type="dxa"/>
            <w:vAlign w:val="center"/>
          </w:tcPr>
          <w:p w14:paraId="242103D1" w14:textId="77777777" w:rsidR="00801F69" w:rsidRDefault="00801F69" w:rsidP="00A91BEB">
            <w:pPr>
              <w:rPr>
                <w:rFonts w:ascii="Courier New" w:hAnsi="Courier New" w:cs="Courier New"/>
              </w:rPr>
            </w:pPr>
            <w:r>
              <w:rPr>
                <w:rFonts w:ascii="Courier New" w:hAnsi="Courier New" w:cs="Courier New"/>
              </w:rPr>
              <w:t>stixCommon:</w:t>
            </w:r>
          </w:p>
          <w:p w14:paraId="219C26BE" w14:textId="77777777" w:rsidR="00801F69" w:rsidRPr="009B3EC0" w:rsidRDefault="00801F69" w:rsidP="00A91BEB">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A91BEB">
            <w:pPr>
              <w:jc w:val="center"/>
              <w:rPr>
                <w:sz w:val="22"/>
              </w:rPr>
            </w:pPr>
            <w:r w:rsidRPr="0082327D">
              <w:t>1..*</w:t>
            </w:r>
          </w:p>
        </w:tc>
        <w:tc>
          <w:tcPr>
            <w:tcW w:w="7200" w:type="dxa"/>
            <w:vAlign w:val="center"/>
          </w:tcPr>
          <w:p w14:paraId="202CF9A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91" w:name="_Toc420658347"/>
      <w:bookmarkStart w:id="92" w:name="_Toc429494691"/>
      <w:r>
        <w:t>RelatedTTPsType Class</w:t>
      </w:r>
      <w:bookmarkEnd w:id="91"/>
      <w:bookmarkEnd w:id="92"/>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93" w:name="_Ref395023936"/>
      <w:r w:rsidRPr="0086379B">
        <w:t xml:space="preserve">Figure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Figure \* ARABIC \s 1 </w:instrText>
      </w:r>
      <w:r w:rsidR="00A8239D">
        <w:fldChar w:fldCharType="separate"/>
      </w:r>
      <w:r w:rsidR="004B7B4D">
        <w:rPr>
          <w:noProof/>
        </w:rPr>
        <w:t>2</w:t>
      </w:r>
      <w:r w:rsidR="00A8239D">
        <w:rPr>
          <w:noProof/>
        </w:rPr>
        <w:fldChar w:fldCharType="end"/>
      </w:r>
      <w:bookmarkEnd w:id="93"/>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94" w:name="_Ref391382493"/>
      <w:r w:rsidRPr="00C96A2E">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4</w:t>
      </w:r>
      <w:r w:rsidR="00A8239D">
        <w:rPr>
          <w:noProof/>
        </w:rPr>
        <w:fldChar w:fldCharType="end"/>
      </w:r>
      <w:bookmarkEnd w:id="94"/>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A91BEB">
        <w:trPr>
          <w:trHeight w:val="547"/>
        </w:trPr>
        <w:tc>
          <w:tcPr>
            <w:tcW w:w="2358" w:type="dxa"/>
            <w:shd w:val="clear" w:color="auto" w:fill="BFBFBF" w:themeFill="background1" w:themeFillShade="BF"/>
            <w:vAlign w:val="center"/>
          </w:tcPr>
          <w:p w14:paraId="51C19530" w14:textId="77777777" w:rsidR="00801F69" w:rsidRPr="00693F21" w:rsidRDefault="00801F69" w:rsidP="00A91BEB">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A91BEB">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A91BEB">
            <w:pPr>
              <w:rPr>
                <w:b/>
              </w:rPr>
            </w:pPr>
            <w:r w:rsidRPr="00693F21">
              <w:rPr>
                <w:b/>
              </w:rPr>
              <w:t>Description</w:t>
            </w:r>
          </w:p>
        </w:tc>
      </w:tr>
      <w:tr w:rsidR="00801F69" w14:paraId="421A9942" w14:textId="77777777" w:rsidTr="00A91BEB">
        <w:trPr>
          <w:trHeight w:val="547"/>
        </w:trPr>
        <w:tc>
          <w:tcPr>
            <w:tcW w:w="2358" w:type="dxa"/>
            <w:vAlign w:val="center"/>
          </w:tcPr>
          <w:p w14:paraId="5BE597FB" w14:textId="77777777" w:rsidR="00801F69" w:rsidRPr="0082327D" w:rsidRDefault="00801F69" w:rsidP="00A91BEB">
            <w:pPr>
              <w:rPr>
                <w:b/>
              </w:rPr>
            </w:pPr>
            <w:r w:rsidRPr="0082327D">
              <w:rPr>
                <w:b/>
              </w:rPr>
              <w:t>Related_TTP</w:t>
            </w:r>
          </w:p>
        </w:tc>
        <w:tc>
          <w:tcPr>
            <w:tcW w:w="3690" w:type="dxa"/>
            <w:vAlign w:val="center"/>
          </w:tcPr>
          <w:p w14:paraId="120470E5" w14:textId="77777777" w:rsidR="00801F69" w:rsidRPr="009B3EC0" w:rsidRDefault="00801F69" w:rsidP="00A91BEB">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A91BEB">
            <w:pPr>
              <w:jc w:val="center"/>
              <w:rPr>
                <w:sz w:val="22"/>
              </w:rPr>
            </w:pPr>
            <w:r w:rsidRPr="0082327D">
              <w:t>1..*</w:t>
            </w:r>
          </w:p>
        </w:tc>
        <w:tc>
          <w:tcPr>
            <w:tcW w:w="5688" w:type="dxa"/>
            <w:vAlign w:val="center"/>
          </w:tcPr>
          <w:p w14:paraId="7593CC8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95" w:name="_Ref394941555"/>
      <w:bookmarkStart w:id="96" w:name="_Toc420658348"/>
      <w:bookmarkStart w:id="97" w:name="_Toc429494692"/>
      <w:r>
        <w:t>RelatedIncidentsType</w:t>
      </w:r>
      <w:bookmarkEnd w:id="95"/>
      <w:r>
        <w:t xml:space="preserve"> Class</w:t>
      </w:r>
      <w:bookmarkEnd w:id="96"/>
      <w:bookmarkEnd w:id="97"/>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98" w:name="_Ref394476592"/>
      <w:bookmarkStart w:id="99" w:name="_Ref394953855"/>
      <w:r w:rsidRPr="00A34019">
        <w:t xml:space="preserve">Figure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Figure \* ARABIC \s 1 </w:instrText>
      </w:r>
      <w:r w:rsidR="00A8239D">
        <w:fldChar w:fldCharType="separate"/>
      </w:r>
      <w:r w:rsidR="004B7B4D">
        <w:rPr>
          <w:noProof/>
        </w:rPr>
        <w:t>3</w:t>
      </w:r>
      <w:r w:rsidR="00A8239D">
        <w:rPr>
          <w:noProof/>
        </w:rPr>
        <w:fldChar w:fldCharType="end"/>
      </w:r>
      <w:bookmarkEnd w:id="98"/>
      <w:r w:rsidRPr="00A34019">
        <w:t xml:space="preserve">.  </w:t>
      </w:r>
      <w:bookmarkStart w:id="100"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99"/>
      <w:bookmarkEnd w:id="100"/>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Pr="00010CAE">
        <w:rPr>
          <w:b/>
          <w:color w:val="0000EE"/>
        </w:rPr>
        <w:t xml:space="preserve">Table </w:t>
      </w:r>
      <w:r w:rsidRPr="00010CAE">
        <w:rPr>
          <w:b/>
          <w:noProof/>
          <w:color w:val="0000EE"/>
        </w:rPr>
        <w:t>3</w:t>
      </w:r>
      <w:r w:rsidRPr="00010CAE">
        <w:rPr>
          <w:b/>
          <w:color w:val="0000EE"/>
        </w:rPr>
        <w:noBreakHyphen/>
      </w:r>
      <w:r w:rsidRPr="00010CAE">
        <w:rPr>
          <w:b/>
          <w:noProof/>
          <w:color w:val="0000EE"/>
        </w:rPr>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Pr="005B6158">
        <w:rPr>
          <w:b/>
          <w:color w:val="0000EE"/>
        </w:rPr>
        <w:t>Figure 3</w:t>
      </w:r>
      <w:r w:rsidRPr="005B6158">
        <w:rPr>
          <w:b/>
          <w:color w:val="0000EE"/>
        </w:rPr>
        <w:noBreakHyphen/>
        <w:t>3</w:t>
      </w:r>
      <w:r w:rsidRPr="005B6158">
        <w:rPr>
          <w:b/>
          <w:color w:val="0000EE"/>
        </w:rPr>
        <w:fldChar w:fldCharType="end"/>
      </w:r>
      <w:r>
        <w:t>.</w:t>
      </w:r>
      <w:bookmarkStart w:id="101" w:name="_Ref391382644"/>
    </w:p>
    <w:p w14:paraId="1B322606" w14:textId="77777777" w:rsidR="00801F69" w:rsidRDefault="00801F69" w:rsidP="00010CAE">
      <w:pPr>
        <w:pStyle w:val="Caption"/>
        <w:keepNext/>
        <w:keepLines/>
      </w:pPr>
      <w:bookmarkStart w:id="102" w:name="_Ref429124331"/>
      <w:r w:rsidRPr="00C96A2E">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5</w:t>
      </w:r>
      <w:r w:rsidR="00A8239D">
        <w:rPr>
          <w:noProof/>
        </w:rPr>
        <w:fldChar w:fldCharType="end"/>
      </w:r>
      <w:bookmarkEnd w:id="101"/>
      <w:bookmarkEnd w:id="102"/>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A91BEB">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A91BEB">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103" w:name="_Ref397687406"/>
      <w:bookmarkStart w:id="104" w:name="_Ref417306530"/>
      <w:bookmarkStart w:id="105" w:name="_Ref417306536"/>
      <w:bookmarkStart w:id="106" w:name="_Toc420658349"/>
      <w:bookmarkStart w:id="107" w:name="_Ref381702753"/>
      <w:bookmarkStart w:id="108" w:name="_Toc429494693"/>
      <w:r>
        <w:t>RelatedIndicatorsType Class</w:t>
      </w:r>
      <w:bookmarkEnd w:id="103"/>
      <w:r>
        <w:t xml:space="preserve"> (deprecated)</w:t>
      </w:r>
      <w:bookmarkEnd w:id="104"/>
      <w:bookmarkEnd w:id="105"/>
      <w:bookmarkEnd w:id="106"/>
      <w:bookmarkEnd w:id="108"/>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109" w:name="_Ref395028844"/>
      <w:r w:rsidRPr="0086379B">
        <w:t xml:space="preserve">Figure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Figure \* ARABIC \s 1 </w:instrText>
      </w:r>
      <w:r w:rsidR="00A8239D">
        <w:fldChar w:fldCharType="separate"/>
      </w:r>
      <w:r w:rsidR="004B7B4D">
        <w:rPr>
          <w:noProof/>
        </w:rPr>
        <w:t>4</w:t>
      </w:r>
      <w:r w:rsidR="00A8239D">
        <w:rPr>
          <w:noProof/>
        </w:rPr>
        <w:fldChar w:fldCharType="end"/>
      </w:r>
      <w:bookmarkEnd w:id="109"/>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w:t>
      </w:r>
      <w:commentRangeStart w:id="110"/>
      <w:r w:rsidRPr="00440CCC">
        <w:rPr>
          <w:i/>
        </w:rPr>
        <w:t>class</w:t>
      </w:r>
      <w:commentRangeEnd w:id="110"/>
      <w:r w:rsidR="00DB3FC8">
        <w:rPr>
          <w:rStyle w:val="CommentReference"/>
        </w:rPr>
        <w:commentReference w:id="110"/>
      </w:r>
      <w:r w:rsidRPr="00440CCC">
        <w:rPr>
          <w:i/>
        </w:rPr>
        <w:t>.</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111" w:name="_Ref391384074"/>
      <w:r w:rsidRPr="00C96A2E">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6</w:t>
      </w:r>
      <w:r w:rsidR="00A8239D">
        <w:rPr>
          <w:noProof/>
        </w:rPr>
        <w:fldChar w:fldCharType="end"/>
      </w:r>
      <w:bookmarkEnd w:id="111"/>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A91BEB">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A91BEB">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A91BEB">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A91BEB">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A91BEB">
            <w:pPr>
              <w:rPr>
                <w:b/>
              </w:rPr>
            </w:pPr>
            <w:r w:rsidRPr="00693F21">
              <w:rPr>
                <w:b/>
              </w:rPr>
              <w:t>Description</w:t>
            </w:r>
          </w:p>
        </w:tc>
      </w:tr>
      <w:tr w:rsidR="00801F69" w14:paraId="7658D3C0" w14:textId="77777777" w:rsidTr="00A91BEB">
        <w:trPr>
          <w:cantSplit/>
          <w:trHeight w:val="547"/>
        </w:trPr>
        <w:tc>
          <w:tcPr>
            <w:tcW w:w="2358" w:type="dxa"/>
            <w:shd w:val="clear" w:color="auto" w:fill="DDD9C3" w:themeFill="background2" w:themeFillShade="E6"/>
            <w:vAlign w:val="center"/>
          </w:tcPr>
          <w:p w14:paraId="1B9642DA" w14:textId="77777777" w:rsidR="00801F69" w:rsidRPr="0082327D" w:rsidRDefault="00801F69" w:rsidP="00A91BEB">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A91BEB">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A91BEB">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A91BEB">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12" w:name="_Toc420658350"/>
      <w:bookmarkStart w:id="113" w:name="_Toc429494694"/>
      <w:r>
        <w:t>AttributionType Class</w:t>
      </w:r>
      <w:bookmarkEnd w:id="112"/>
      <w:bookmarkEnd w:id="113"/>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 xml:space="preserve">Figure </w:t>
      </w:r>
      <w:r w:rsidR="004B7B4D" w:rsidRPr="001C7D12">
        <w:rPr>
          <w:b/>
          <w:noProof/>
          <w:color w:val="0000EE"/>
        </w:rPr>
        <w:t>3</w:t>
      </w:r>
      <w:r w:rsidR="004B7B4D" w:rsidRPr="001C7D12">
        <w:rPr>
          <w:b/>
          <w:color w:val="0000EE"/>
        </w:rPr>
        <w:noBreakHyphen/>
      </w:r>
      <w:r w:rsidR="004B7B4D" w:rsidRPr="001C7D12">
        <w:rPr>
          <w:b/>
          <w:noProof/>
          <w:color w:val="0000EE"/>
        </w:rPr>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14" w:name="_Ref395029436"/>
      <w:bookmarkStart w:id="115" w:name="_Ref395029191"/>
      <w:r w:rsidRPr="0086379B">
        <w:t xml:space="preserve">Figure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Figure \* ARABIC \s 1 </w:instrText>
      </w:r>
      <w:r w:rsidR="00A8239D">
        <w:fldChar w:fldCharType="separate"/>
      </w:r>
      <w:r w:rsidR="004B7B4D">
        <w:rPr>
          <w:noProof/>
        </w:rPr>
        <w:t>5</w:t>
      </w:r>
      <w:r w:rsidR="00A8239D">
        <w:rPr>
          <w:noProof/>
        </w:rPr>
        <w:fldChar w:fldCharType="end"/>
      </w:r>
      <w:bookmarkEnd w:id="114"/>
      <w:r>
        <w:t xml:space="preserve">. UML diagram of the </w:t>
      </w:r>
      <w:r>
        <w:rPr>
          <w:rFonts w:ascii="Courier New" w:hAnsi="Courier New" w:cs="Courier New"/>
        </w:rPr>
        <w:t>AttributionType</w:t>
      </w:r>
      <w:r>
        <w:t xml:space="preserve"> class</w:t>
      </w:r>
      <w:bookmarkEnd w:id="115"/>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16" w:name="_Ref391385514"/>
      <w:r w:rsidRPr="00C96A2E">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7</w:t>
      </w:r>
      <w:r w:rsidR="00A8239D">
        <w:rPr>
          <w:noProof/>
        </w:rPr>
        <w:fldChar w:fldCharType="end"/>
      </w:r>
      <w:bookmarkEnd w:id="116"/>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A91BEB">
        <w:trPr>
          <w:trHeight w:val="547"/>
        </w:trPr>
        <w:tc>
          <w:tcPr>
            <w:tcW w:w="2538" w:type="dxa"/>
            <w:shd w:val="clear" w:color="auto" w:fill="BFBFBF" w:themeFill="background1" w:themeFillShade="BF"/>
            <w:vAlign w:val="center"/>
          </w:tcPr>
          <w:p w14:paraId="55D0036A" w14:textId="77777777" w:rsidR="00801F69" w:rsidRPr="00693F21" w:rsidRDefault="00801F69" w:rsidP="00A91BEB">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A91BEB">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A91BEB">
            <w:pPr>
              <w:rPr>
                <w:b/>
              </w:rPr>
            </w:pPr>
            <w:r w:rsidRPr="00693F21">
              <w:rPr>
                <w:b/>
              </w:rPr>
              <w:t>Description</w:t>
            </w:r>
          </w:p>
        </w:tc>
      </w:tr>
      <w:tr w:rsidR="00801F69" w14:paraId="26E37DAC" w14:textId="77777777" w:rsidTr="00A91BEB">
        <w:trPr>
          <w:trHeight w:val="547"/>
        </w:trPr>
        <w:tc>
          <w:tcPr>
            <w:tcW w:w="2538" w:type="dxa"/>
            <w:vAlign w:val="center"/>
          </w:tcPr>
          <w:p w14:paraId="4C727DF9" w14:textId="77777777" w:rsidR="00801F69" w:rsidRPr="0082327D" w:rsidRDefault="00801F69" w:rsidP="00A91BEB">
            <w:pPr>
              <w:rPr>
                <w:b/>
              </w:rPr>
            </w:pPr>
            <w:r w:rsidRPr="0082327D">
              <w:rPr>
                <w:b/>
              </w:rPr>
              <w:t>Attributed_Threat_Actor</w:t>
            </w:r>
          </w:p>
        </w:tc>
        <w:tc>
          <w:tcPr>
            <w:tcW w:w="4207" w:type="dxa"/>
            <w:vAlign w:val="center"/>
          </w:tcPr>
          <w:p w14:paraId="5F57880E" w14:textId="77777777" w:rsidR="00801F69" w:rsidRPr="009B3EC0" w:rsidRDefault="00801F69" w:rsidP="00A91BEB">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A91BEB">
            <w:pPr>
              <w:jc w:val="center"/>
              <w:rPr>
                <w:sz w:val="22"/>
              </w:rPr>
            </w:pPr>
            <w:r w:rsidRPr="0082327D">
              <w:t>1..*</w:t>
            </w:r>
          </w:p>
        </w:tc>
        <w:tc>
          <w:tcPr>
            <w:tcW w:w="4991" w:type="dxa"/>
            <w:vAlign w:val="center"/>
          </w:tcPr>
          <w:p w14:paraId="1DC843F3"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17" w:name="_Ref394446317"/>
      <w:bookmarkStart w:id="118" w:name="_Toc420658351"/>
      <w:bookmarkStart w:id="119" w:name="_Toc429494695"/>
      <w:r>
        <w:t>AssociatedCampaigns</w:t>
      </w:r>
      <w:bookmarkEnd w:id="117"/>
      <w:r>
        <w:t>Type Class</w:t>
      </w:r>
      <w:bookmarkEnd w:id="118"/>
      <w:bookmarkEnd w:id="119"/>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20" w:name="_Ref395029998"/>
      <w:bookmarkStart w:id="121"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397125"/>
                    </a:xfrm>
                    <a:prstGeom prst="rect">
                      <a:avLst/>
                    </a:prstGeom>
                  </pic:spPr>
                </pic:pic>
              </a:graphicData>
            </a:graphic>
          </wp:inline>
        </w:drawing>
      </w:r>
      <w:bookmarkEnd w:id="120"/>
      <w:bookmarkEnd w:id="121"/>
    </w:p>
    <w:p w14:paraId="6D8EA896" w14:textId="77777777" w:rsidR="00801F69" w:rsidRDefault="00801F69" w:rsidP="00801F69">
      <w:pPr>
        <w:spacing w:after="240"/>
        <w:jc w:val="center"/>
      </w:pPr>
      <w:bookmarkStart w:id="122"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4B7B4D">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4B7B4D">
        <w:rPr>
          <w:b/>
          <w:noProof/>
        </w:rPr>
        <w:t>6</w:t>
      </w:r>
      <w:r w:rsidRPr="00A62AAE">
        <w:rPr>
          <w:b/>
        </w:rPr>
        <w:fldChar w:fldCharType="end"/>
      </w:r>
      <w:bookmarkEnd w:id="122"/>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 xml:space="preserve">Table </w:t>
      </w:r>
      <w:r w:rsidR="004B7B4D" w:rsidRPr="005B6158">
        <w:rPr>
          <w:b/>
          <w:noProof/>
          <w:color w:val="0000EE"/>
        </w:rPr>
        <w:t>3</w:t>
      </w:r>
      <w:r w:rsidR="004B7B4D" w:rsidRPr="005B6158">
        <w:rPr>
          <w:b/>
          <w:color w:val="0000EE"/>
        </w:rPr>
        <w:noBreakHyphen/>
      </w:r>
      <w:r w:rsidR="004B7B4D" w:rsidRPr="005B6158">
        <w:rPr>
          <w:b/>
          <w:noProof/>
          <w:color w:val="0000EE"/>
        </w:rPr>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6</w:t>
      </w:r>
      <w:r w:rsidRPr="005B6158">
        <w:rPr>
          <w:b/>
          <w:color w:val="0000EE"/>
        </w:rPr>
        <w:fldChar w:fldCharType="end"/>
      </w:r>
      <w:r w:rsidRPr="00FE39D5">
        <w:t>.</w:t>
      </w:r>
      <w:bookmarkStart w:id="123" w:name="_Ref391385522"/>
    </w:p>
    <w:p w14:paraId="65F2294B" w14:textId="77777777" w:rsidR="00801F69" w:rsidRPr="00056BC7" w:rsidRDefault="00801F69" w:rsidP="00484E42">
      <w:pPr>
        <w:pStyle w:val="Caption"/>
        <w:rPr>
          <w:b/>
        </w:rPr>
      </w:pPr>
      <w:bookmarkStart w:id="124" w:name="_Ref417311625"/>
      <w:r w:rsidRPr="00C96A2E">
        <w:t xml:space="preserve">Table </w:t>
      </w:r>
      <w:r w:rsidR="00A8239D">
        <w:fldChar w:fldCharType="begin"/>
      </w:r>
      <w:r w:rsidR="00A8239D">
        <w:instrText xml:space="preserve"> STYLEREF 1 \s </w:instrText>
      </w:r>
      <w:r w:rsidR="00A8239D">
        <w:fldChar w:fldCharType="separate"/>
      </w:r>
      <w:r w:rsidR="004B7B4D">
        <w:rPr>
          <w:noProof/>
        </w:rPr>
        <w:t>3</w:t>
      </w:r>
      <w:r w:rsidR="00A8239D">
        <w:rPr>
          <w:noProof/>
        </w:rPr>
        <w:fldChar w:fldCharType="end"/>
      </w:r>
      <w:r>
        <w:noBreakHyphen/>
      </w:r>
      <w:r w:rsidR="00A8239D">
        <w:fldChar w:fldCharType="begin"/>
      </w:r>
      <w:r w:rsidR="00A8239D">
        <w:instrText xml:space="preserve"> SEQ Table \* ARABIC \s 1 </w:instrText>
      </w:r>
      <w:r w:rsidR="00A8239D">
        <w:fldChar w:fldCharType="separate"/>
      </w:r>
      <w:r w:rsidR="004B7B4D">
        <w:rPr>
          <w:noProof/>
        </w:rPr>
        <w:t>8</w:t>
      </w:r>
      <w:r w:rsidR="00A8239D">
        <w:rPr>
          <w:noProof/>
        </w:rPr>
        <w:fldChar w:fldCharType="end"/>
      </w:r>
      <w:bookmarkEnd w:id="123"/>
      <w:bookmarkEnd w:id="124"/>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A91BEB">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A91BEB">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A91BEB">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A91BEB">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A91BEB">
            <w:pPr>
              <w:rPr>
                <w:b/>
              </w:rPr>
            </w:pPr>
            <w:r w:rsidRPr="0082327D">
              <w:rPr>
                <w:b/>
              </w:rPr>
              <w:t>Associated_Campaign</w:t>
            </w:r>
          </w:p>
        </w:tc>
        <w:tc>
          <w:tcPr>
            <w:tcW w:w="3870" w:type="dxa"/>
            <w:vAlign w:val="center"/>
          </w:tcPr>
          <w:p w14:paraId="67A8241E" w14:textId="77777777" w:rsidR="00801F69" w:rsidRPr="009B3EC0" w:rsidRDefault="00801F69" w:rsidP="00A91BEB">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A91BEB">
            <w:pPr>
              <w:jc w:val="center"/>
              <w:rPr>
                <w:sz w:val="22"/>
              </w:rPr>
            </w:pPr>
            <w:r w:rsidRPr="0082327D">
              <w:t>1..*</w:t>
            </w:r>
          </w:p>
        </w:tc>
        <w:tc>
          <w:tcPr>
            <w:tcW w:w="5508" w:type="dxa"/>
            <w:vAlign w:val="center"/>
          </w:tcPr>
          <w:p w14:paraId="67C4C1CF"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10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77777777" w:rsidR="00AE0702" w:rsidRPr="00FD22AC" w:rsidRDefault="00AE0702" w:rsidP="00FD22AC">
      <w:pPr>
        <w:pStyle w:val="Heading1"/>
      </w:pPr>
      <w:bookmarkStart w:id="125" w:name="_Ref429123426"/>
      <w:bookmarkStart w:id="126" w:name="_Toc429494696"/>
      <w:r w:rsidRPr="00FD22AC">
        <w:lastRenderedPageBreak/>
        <w:t># Conformance</w:t>
      </w:r>
      <w:bookmarkEnd w:id="78"/>
      <w:bookmarkEnd w:id="125"/>
      <w:bookmarkEnd w:id="126"/>
    </w:p>
    <w:p w14:paraId="7D49D373"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1441D233" w14:textId="77777777" w:rsidR="0052099F" w:rsidRDefault="00B80CDB" w:rsidP="00CE1F32">
      <w:pPr>
        <w:pStyle w:val="AppendixHeading1"/>
      </w:pPr>
      <w:bookmarkStart w:id="127" w:name="_Toc85472897"/>
      <w:bookmarkStart w:id="128" w:name="_Toc287332012"/>
      <w:bookmarkStart w:id="129" w:name="_Toc429494697"/>
      <w:r>
        <w:lastRenderedPageBreak/>
        <w:t>Acknowl</w:t>
      </w:r>
      <w:r w:rsidR="004D0E5E">
        <w:t>e</w:t>
      </w:r>
      <w:r w:rsidR="008F61FB">
        <w:t>dg</w:t>
      </w:r>
      <w:r w:rsidR="0052099F">
        <w:t>ments</w:t>
      </w:r>
      <w:bookmarkEnd w:id="127"/>
      <w:bookmarkEnd w:id="128"/>
      <w:bookmarkEnd w:id="129"/>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192BFEFA" w14:textId="77777777" w:rsidR="00C32606" w:rsidRDefault="001A7143" w:rsidP="00C32606">
      <w:pPr>
        <w:pStyle w:val="Contributor"/>
      </w:pPr>
      <w:r w:rsidRPr="001A7143">
        <w:t>[Participant Name, Affiliation | Individual Member]</w:t>
      </w:r>
    </w:p>
    <w:p w14:paraId="47E1782A" w14:textId="77777777" w:rsidR="00C32606" w:rsidRDefault="001A7143" w:rsidP="00C32606">
      <w:pPr>
        <w:pStyle w:val="Contributor"/>
      </w:pPr>
      <w:r w:rsidRPr="001A7143">
        <w:t>[Participant Name, Affiliation | Individual Member]</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30" w:name="_Toc85472898"/>
      <w:bookmarkStart w:id="131" w:name="_Toc287332014"/>
      <w:bookmarkStart w:id="132" w:name="_Toc429494698"/>
      <w:r>
        <w:lastRenderedPageBreak/>
        <w:t>Revision History</w:t>
      </w:r>
      <w:bookmarkEnd w:id="130"/>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Beck, Desiree A." w:date="2015-09-04T10:11:00Z" w:initials="BDA">
    <w:p w14:paraId="65DBA74C" w14:textId="24A376FE" w:rsidR="00706B50" w:rsidRDefault="00706B50">
      <w:pPr>
        <w:pStyle w:val="CommentText"/>
      </w:pPr>
      <w:r>
        <w:rPr>
          <w:rStyle w:val="CommentReference"/>
        </w:rPr>
        <w:annotationRef/>
      </w:r>
      <w:r>
        <w:t>Paragraph OK?</w:t>
      </w:r>
    </w:p>
  </w:comment>
  <w:comment w:id="110" w:author="Beck, Desiree A." w:date="2015-09-04T10:09:00Z" w:initials="BDA">
    <w:p w14:paraId="7B8C236B" w14:textId="77777777" w:rsidR="00DB3FC8" w:rsidRDefault="00DB3FC8">
      <w:pPr>
        <w:pStyle w:val="CommentText"/>
      </w:pPr>
      <w:r>
        <w:rPr>
          <w:rStyle w:val="CommentReference"/>
        </w:rPr>
        <w:annotationRef/>
      </w:r>
      <w:r>
        <w:t>Is this paragraph OK wrt version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BA74C" w15:done="0"/>
  <w15:commentEx w15:paraId="7B8C23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07528" w14:textId="77777777" w:rsidR="00E87CC0" w:rsidRDefault="00E87CC0" w:rsidP="008C100C">
      <w:r>
        <w:separator/>
      </w:r>
    </w:p>
    <w:p w14:paraId="4D9B3C73" w14:textId="77777777" w:rsidR="00E87CC0" w:rsidRDefault="00E87CC0" w:rsidP="008C100C"/>
    <w:p w14:paraId="576AD51A" w14:textId="77777777" w:rsidR="00E87CC0" w:rsidRDefault="00E87CC0" w:rsidP="008C100C"/>
    <w:p w14:paraId="387E31AB" w14:textId="77777777" w:rsidR="00E87CC0" w:rsidRDefault="00E87CC0" w:rsidP="008C100C"/>
    <w:p w14:paraId="5C444430" w14:textId="77777777" w:rsidR="00E87CC0" w:rsidRDefault="00E87CC0" w:rsidP="008C100C"/>
    <w:p w14:paraId="41F8C1D3" w14:textId="77777777" w:rsidR="00E87CC0" w:rsidRDefault="00E87CC0" w:rsidP="008C100C"/>
    <w:p w14:paraId="7F309410" w14:textId="77777777" w:rsidR="00E87CC0" w:rsidRDefault="00E87CC0" w:rsidP="008C100C"/>
  </w:endnote>
  <w:endnote w:type="continuationSeparator" w:id="0">
    <w:p w14:paraId="612016F4" w14:textId="77777777" w:rsidR="00E87CC0" w:rsidRDefault="00E87CC0" w:rsidP="008C100C">
      <w:r>
        <w:continuationSeparator/>
      </w:r>
    </w:p>
    <w:p w14:paraId="271D8315" w14:textId="77777777" w:rsidR="00E87CC0" w:rsidRDefault="00E87CC0" w:rsidP="008C100C"/>
    <w:p w14:paraId="323A7A72" w14:textId="77777777" w:rsidR="00E87CC0" w:rsidRDefault="00E87CC0" w:rsidP="008C100C"/>
    <w:p w14:paraId="08783BA3" w14:textId="77777777" w:rsidR="00E87CC0" w:rsidRDefault="00E87CC0" w:rsidP="008C100C"/>
    <w:p w14:paraId="079495FD" w14:textId="77777777" w:rsidR="00E87CC0" w:rsidRDefault="00E87CC0" w:rsidP="008C100C"/>
    <w:p w14:paraId="6A4AC01B" w14:textId="77777777" w:rsidR="00E87CC0" w:rsidRDefault="00E87CC0" w:rsidP="008C100C"/>
    <w:p w14:paraId="50B8CAA9" w14:textId="77777777" w:rsidR="00E87CC0" w:rsidRDefault="00E87CC0" w:rsidP="008C100C"/>
  </w:endnote>
  <w:endnote w:id="1">
    <w:p w14:paraId="5D481A64" w14:textId="77777777" w:rsidR="005B1403" w:rsidRDefault="005B1403">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E950A1" w:rsidRDefault="00E950A1">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266B32" w:rsidRPr="00266B32">
      <w:rPr>
        <w:sz w:val="16"/>
        <w:szCs w:val="16"/>
      </w:rPr>
      <w:t>part8-campaign</w:t>
    </w:r>
    <w:r w:rsidR="00BE0637">
      <w:rPr>
        <w:sz w:val="16"/>
        <w:szCs w:val="16"/>
      </w:rPr>
      <w:tab/>
      <w:t>Working Draft</w:t>
    </w:r>
    <w:r w:rsidR="001847BD">
      <w:rPr>
        <w:sz w:val="16"/>
        <w:szCs w:val="16"/>
      </w:rPr>
      <w:t xml:space="preserve"> 01</w:t>
    </w:r>
    <w:r w:rsidR="00BE0637">
      <w:rPr>
        <w:sz w:val="16"/>
        <w:szCs w:val="16"/>
      </w:rPr>
      <w:tab/>
    </w:r>
    <w:r w:rsidR="009329C4">
      <w:rPr>
        <w:sz w:val="16"/>
        <w:szCs w:val="16"/>
        <w:lang w:val="en-US"/>
      </w:rPr>
      <w:t>04 September</w:t>
    </w:r>
    <w:r w:rsidR="00195F88">
      <w:rPr>
        <w:sz w:val="16"/>
        <w:szCs w:val="16"/>
      </w:rPr>
      <w:t xml:space="preserve"> </w:t>
    </w:r>
    <w:r w:rsidR="00195F88">
      <w:rPr>
        <w:sz w:val="16"/>
        <w:szCs w:val="16"/>
        <w:lang w:val="en-US"/>
      </w:rPr>
      <w:t>201</w:t>
    </w:r>
    <w:r w:rsidR="00960D49">
      <w:rPr>
        <w:sz w:val="16"/>
        <w:szCs w:val="16"/>
        <w:lang w:val="en-US"/>
      </w:rPr>
      <w:t>5</w:t>
    </w:r>
  </w:p>
  <w:p w14:paraId="2AB907D4"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A8239D">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A8239D">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98116" w14:textId="77777777" w:rsidR="00E87CC0" w:rsidRDefault="00E87CC0" w:rsidP="008C100C">
      <w:r>
        <w:separator/>
      </w:r>
    </w:p>
    <w:p w14:paraId="5C09F20C" w14:textId="77777777" w:rsidR="00E87CC0" w:rsidRDefault="00E87CC0" w:rsidP="008C100C"/>
  </w:footnote>
  <w:footnote w:type="continuationSeparator" w:id="0">
    <w:p w14:paraId="46165F9B" w14:textId="77777777" w:rsidR="00E87CC0" w:rsidRDefault="00E87CC0" w:rsidP="008C100C">
      <w:r>
        <w:continuationSeparator/>
      </w:r>
    </w:p>
    <w:p w14:paraId="635E8457" w14:textId="77777777" w:rsidR="00E87CC0" w:rsidRDefault="00E87CC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57D2"/>
    <w:rsid w:val="0012387E"/>
    <w:rsid w:val="00123F2F"/>
    <w:rsid w:val="00125EA7"/>
    <w:rsid w:val="00132EB2"/>
    <w:rsid w:val="00147F63"/>
    <w:rsid w:val="00155251"/>
    <w:rsid w:val="00163EB3"/>
    <w:rsid w:val="00165F54"/>
    <w:rsid w:val="00174946"/>
    <w:rsid w:val="00176B0C"/>
    <w:rsid w:val="00177DED"/>
    <w:rsid w:val="001847BD"/>
    <w:rsid w:val="001945A5"/>
    <w:rsid w:val="00195F88"/>
    <w:rsid w:val="001A7143"/>
    <w:rsid w:val="001B103C"/>
    <w:rsid w:val="001C7D12"/>
    <w:rsid w:val="001D1D6C"/>
    <w:rsid w:val="001E392A"/>
    <w:rsid w:val="001E46CF"/>
    <w:rsid w:val="001F05E0"/>
    <w:rsid w:val="001F2095"/>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65C7"/>
    <w:rsid w:val="006C0BC1"/>
    <w:rsid w:val="006C787E"/>
    <w:rsid w:val="006D31DB"/>
    <w:rsid w:val="006E4329"/>
    <w:rsid w:val="006F2371"/>
    <w:rsid w:val="006F38C6"/>
    <w:rsid w:val="00706B50"/>
    <w:rsid w:val="0071217C"/>
    <w:rsid w:val="007165BD"/>
    <w:rsid w:val="00727F08"/>
    <w:rsid w:val="00735E3A"/>
    <w:rsid w:val="0074463C"/>
    <w:rsid w:val="00745446"/>
    <w:rsid w:val="00754545"/>
    <w:rsid w:val="00755A38"/>
    <w:rsid w:val="0076113A"/>
    <w:rsid w:val="007611CD"/>
    <w:rsid w:val="0077347A"/>
    <w:rsid w:val="007816D7"/>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A2083"/>
    <w:rsid w:val="00BB26AE"/>
    <w:rsid w:val="00BC439B"/>
    <w:rsid w:val="00BC4FA3"/>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29E62B"/>
  <w15:docId w15:val="{44E1DCEF-3E12-46A8-AF88-C65D82FE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microsoft.com/office/2011/relationships/commentsExtended" Target="commentsExtended.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2.png"/><Relationship Id="rId48" Type="http://schemas.microsoft.com/office/2011/relationships/people" Target="peop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4A8C0-22EA-4F2D-8943-8BDE3661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40</TotalTime>
  <Pages>24</Pages>
  <Words>5244</Words>
  <Characters>36150</Characters>
  <Application>Microsoft Office Word</Application>
  <DocSecurity>0</DocSecurity>
  <Lines>301</Lines>
  <Paragraphs>82</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41312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27</cp:revision>
  <cp:lastPrinted>2011-08-05T16:21:00Z</cp:lastPrinted>
  <dcterms:created xsi:type="dcterms:W3CDTF">2015-09-04T13:32:00Z</dcterms:created>
  <dcterms:modified xsi:type="dcterms:W3CDTF">2015-09-08T20:56:00Z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