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44550C0D" w:rsidR="00A67651" w:rsidRDefault="00B21503" w:rsidP="00A67651">
      <w:pPr>
        <w:jc w:val="center"/>
        <w:rPr>
          <w:rStyle w:val="BookTitle"/>
          <w:b w:val="0"/>
          <w:bCs w:val="0"/>
        </w:rPr>
      </w:pPr>
      <w:r>
        <w:rPr>
          <w:rStyle w:val="BookTitle"/>
          <w:b w:val="0"/>
          <w:bCs w:val="0"/>
        </w:rPr>
        <w:t>May 11</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45F8D589"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F169AD">
        <w:rPr>
          <w:rStyle w:val="FootnoteReference"/>
          <w:sz w:val="32"/>
          <w:szCs w:val="32"/>
        </w:rPr>
        <w:footnoteReference w:id="1"/>
      </w:r>
    </w:p>
    <w:p w14:paraId="6C242FBB" w14:textId="77777777" w:rsidR="00A67651" w:rsidRDefault="00A67651" w:rsidP="00A67651">
      <w:pPr>
        <w:rPr>
          <w:b/>
          <w:bCs/>
          <w:sz w:val="28"/>
          <w:szCs w:val="28"/>
        </w:rPr>
      </w:pPr>
      <w:r>
        <w:rPr>
          <w:b/>
          <w:bCs/>
          <w:sz w:val="28"/>
          <w:szCs w:val="28"/>
        </w:rPr>
        <w:t>Feedback</w:t>
      </w:r>
    </w:p>
    <w:p w14:paraId="4348170A" w14:textId="03D83850"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F169AD">
        <w:rPr>
          <w:rStyle w:val="FootnoteReference"/>
          <w:sz w:val="28"/>
          <w:szCs w:val="28"/>
        </w:rPr>
        <w:footnoteReference w:id="2"/>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6CE3C590" w14:textId="77777777" w:rsidR="00FB0228"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19122186" w:history="1">
            <w:r w:rsidR="00FB0228" w:rsidRPr="00B502CD">
              <w:rPr>
                <w:rStyle w:val="Hyperlink"/>
              </w:rPr>
              <w:t>1</w:t>
            </w:r>
            <w:r w:rsidR="00FB0228">
              <w:rPr>
                <w:rFonts w:eastAsiaTheme="minorEastAsia" w:cstheme="minorBidi"/>
                <w:b w:val="0"/>
                <w:sz w:val="22"/>
                <w:szCs w:val="22"/>
              </w:rPr>
              <w:tab/>
            </w:r>
            <w:r w:rsidR="00FB0228" w:rsidRPr="00B502CD">
              <w:rPr>
                <w:rStyle w:val="Hyperlink"/>
              </w:rPr>
              <w:t>Introduction</w:t>
            </w:r>
            <w:r w:rsidR="00FB0228">
              <w:rPr>
                <w:webHidden/>
              </w:rPr>
              <w:tab/>
            </w:r>
            <w:r w:rsidR="00FB0228">
              <w:rPr>
                <w:webHidden/>
              </w:rPr>
              <w:fldChar w:fldCharType="begin"/>
            </w:r>
            <w:r w:rsidR="00FB0228">
              <w:rPr>
                <w:webHidden/>
              </w:rPr>
              <w:instrText xml:space="preserve"> PAGEREF _Toc419122186 \h </w:instrText>
            </w:r>
            <w:r w:rsidR="00FB0228">
              <w:rPr>
                <w:webHidden/>
              </w:rPr>
            </w:r>
            <w:r w:rsidR="00FB0228">
              <w:rPr>
                <w:webHidden/>
              </w:rPr>
              <w:fldChar w:fldCharType="separate"/>
            </w:r>
            <w:r w:rsidR="00E84F4B">
              <w:rPr>
                <w:webHidden/>
              </w:rPr>
              <w:t>1</w:t>
            </w:r>
            <w:r w:rsidR="00FB0228">
              <w:rPr>
                <w:webHidden/>
              </w:rPr>
              <w:fldChar w:fldCharType="end"/>
            </w:r>
          </w:hyperlink>
        </w:p>
        <w:p w14:paraId="791F03B8" w14:textId="77777777" w:rsidR="00FB0228" w:rsidRDefault="00FB0228">
          <w:pPr>
            <w:pStyle w:val="TOC2"/>
            <w:tabs>
              <w:tab w:val="left" w:pos="880"/>
              <w:tab w:val="right" w:leader="dot" w:pos="8803"/>
            </w:tabs>
            <w:rPr>
              <w:rFonts w:eastAsiaTheme="minorEastAsia" w:cstheme="minorBidi"/>
              <w:noProof/>
              <w:sz w:val="22"/>
              <w:szCs w:val="22"/>
            </w:rPr>
          </w:pPr>
          <w:hyperlink w:anchor="_Toc419122187" w:history="1">
            <w:r w:rsidRPr="00B502CD">
              <w:rPr>
                <w:rStyle w:val="Hyperlink"/>
                <w:noProof/>
              </w:rPr>
              <w:t>1.1</w:t>
            </w:r>
            <w:r>
              <w:rPr>
                <w:rFonts w:eastAsiaTheme="minorEastAsia" w:cstheme="minorBidi"/>
                <w:noProof/>
                <w:sz w:val="22"/>
                <w:szCs w:val="22"/>
              </w:rPr>
              <w:tab/>
            </w:r>
            <w:r w:rsidRPr="00B502CD">
              <w:rPr>
                <w:rStyle w:val="Hyperlink"/>
                <w:noProof/>
              </w:rPr>
              <w:t>STIX Specification Documents</w:t>
            </w:r>
            <w:r>
              <w:rPr>
                <w:noProof/>
                <w:webHidden/>
              </w:rPr>
              <w:tab/>
            </w:r>
            <w:r>
              <w:rPr>
                <w:noProof/>
                <w:webHidden/>
              </w:rPr>
              <w:fldChar w:fldCharType="begin"/>
            </w:r>
            <w:r>
              <w:rPr>
                <w:noProof/>
                <w:webHidden/>
              </w:rPr>
              <w:instrText xml:space="preserve"> PAGEREF _Toc419122187 \h </w:instrText>
            </w:r>
            <w:r>
              <w:rPr>
                <w:noProof/>
                <w:webHidden/>
              </w:rPr>
            </w:r>
            <w:r>
              <w:rPr>
                <w:noProof/>
                <w:webHidden/>
              </w:rPr>
              <w:fldChar w:fldCharType="separate"/>
            </w:r>
            <w:r w:rsidR="00E84F4B">
              <w:rPr>
                <w:noProof/>
                <w:webHidden/>
              </w:rPr>
              <w:t>1</w:t>
            </w:r>
            <w:r>
              <w:rPr>
                <w:noProof/>
                <w:webHidden/>
              </w:rPr>
              <w:fldChar w:fldCharType="end"/>
            </w:r>
          </w:hyperlink>
        </w:p>
        <w:p w14:paraId="35DEA4F4" w14:textId="77777777" w:rsidR="00FB0228" w:rsidRDefault="00FB0228">
          <w:pPr>
            <w:pStyle w:val="TOC2"/>
            <w:tabs>
              <w:tab w:val="left" w:pos="880"/>
              <w:tab w:val="right" w:leader="dot" w:pos="8803"/>
            </w:tabs>
            <w:rPr>
              <w:rFonts w:eastAsiaTheme="minorEastAsia" w:cstheme="minorBidi"/>
              <w:noProof/>
              <w:sz w:val="22"/>
              <w:szCs w:val="22"/>
            </w:rPr>
          </w:pPr>
          <w:hyperlink w:anchor="_Toc419122188" w:history="1">
            <w:r w:rsidRPr="00B502CD">
              <w:rPr>
                <w:rStyle w:val="Hyperlink"/>
                <w:noProof/>
                <w:lang w:val="en"/>
              </w:rPr>
              <w:t>1.2</w:t>
            </w:r>
            <w:r>
              <w:rPr>
                <w:rFonts w:eastAsiaTheme="minorEastAsia" w:cstheme="minorBidi"/>
                <w:noProof/>
                <w:sz w:val="22"/>
                <w:szCs w:val="22"/>
              </w:rPr>
              <w:tab/>
            </w:r>
            <w:r w:rsidRPr="00B502CD">
              <w:rPr>
                <w:rStyle w:val="Hyperlink"/>
                <w:noProof/>
                <w:lang w:val="en"/>
              </w:rPr>
              <w:t>Document Conventions</w:t>
            </w:r>
            <w:r>
              <w:rPr>
                <w:noProof/>
                <w:webHidden/>
              </w:rPr>
              <w:tab/>
            </w:r>
            <w:r>
              <w:rPr>
                <w:noProof/>
                <w:webHidden/>
              </w:rPr>
              <w:fldChar w:fldCharType="begin"/>
            </w:r>
            <w:r>
              <w:rPr>
                <w:noProof/>
                <w:webHidden/>
              </w:rPr>
              <w:instrText xml:space="preserve"> PAGEREF _Toc419122188 \h </w:instrText>
            </w:r>
            <w:r>
              <w:rPr>
                <w:noProof/>
                <w:webHidden/>
              </w:rPr>
            </w:r>
            <w:r>
              <w:rPr>
                <w:noProof/>
                <w:webHidden/>
              </w:rPr>
              <w:fldChar w:fldCharType="separate"/>
            </w:r>
            <w:r w:rsidR="00E84F4B">
              <w:rPr>
                <w:noProof/>
                <w:webHidden/>
              </w:rPr>
              <w:t>2</w:t>
            </w:r>
            <w:r>
              <w:rPr>
                <w:noProof/>
                <w:webHidden/>
              </w:rPr>
              <w:fldChar w:fldCharType="end"/>
            </w:r>
          </w:hyperlink>
        </w:p>
        <w:p w14:paraId="396AE8E7" w14:textId="77777777" w:rsidR="00FB0228" w:rsidRDefault="00FB0228">
          <w:pPr>
            <w:pStyle w:val="TOC3"/>
            <w:tabs>
              <w:tab w:val="left" w:pos="1320"/>
              <w:tab w:val="right" w:leader="dot" w:pos="8803"/>
            </w:tabs>
            <w:rPr>
              <w:rFonts w:eastAsiaTheme="minorEastAsia" w:cstheme="minorBidi"/>
              <w:noProof/>
              <w:sz w:val="22"/>
              <w:szCs w:val="22"/>
            </w:rPr>
          </w:pPr>
          <w:hyperlink w:anchor="_Toc419122189" w:history="1">
            <w:r w:rsidRPr="00B502CD">
              <w:rPr>
                <w:rStyle w:val="Hyperlink"/>
                <w:rFonts w:eastAsiaTheme="minorHAnsi"/>
                <w:noProof/>
              </w:rPr>
              <w:t>1.2.1</w:t>
            </w:r>
            <w:r>
              <w:rPr>
                <w:rFonts w:eastAsiaTheme="minorEastAsia" w:cstheme="minorBidi"/>
                <w:noProof/>
                <w:sz w:val="22"/>
                <w:szCs w:val="22"/>
              </w:rPr>
              <w:tab/>
            </w:r>
            <w:r w:rsidRPr="00B502CD">
              <w:rPr>
                <w:rStyle w:val="Hyperlink"/>
                <w:rFonts w:eastAsiaTheme="minorHAnsi"/>
                <w:noProof/>
              </w:rPr>
              <w:t>Keywords</w:t>
            </w:r>
            <w:r>
              <w:rPr>
                <w:noProof/>
                <w:webHidden/>
              </w:rPr>
              <w:tab/>
            </w:r>
            <w:r>
              <w:rPr>
                <w:noProof/>
                <w:webHidden/>
              </w:rPr>
              <w:fldChar w:fldCharType="begin"/>
            </w:r>
            <w:r>
              <w:rPr>
                <w:noProof/>
                <w:webHidden/>
              </w:rPr>
              <w:instrText xml:space="preserve"> PAGEREF _Toc419122189 \h </w:instrText>
            </w:r>
            <w:r>
              <w:rPr>
                <w:noProof/>
                <w:webHidden/>
              </w:rPr>
            </w:r>
            <w:r>
              <w:rPr>
                <w:noProof/>
                <w:webHidden/>
              </w:rPr>
              <w:fldChar w:fldCharType="separate"/>
            </w:r>
            <w:r w:rsidR="00E84F4B">
              <w:rPr>
                <w:noProof/>
                <w:webHidden/>
              </w:rPr>
              <w:t>2</w:t>
            </w:r>
            <w:r>
              <w:rPr>
                <w:noProof/>
                <w:webHidden/>
              </w:rPr>
              <w:fldChar w:fldCharType="end"/>
            </w:r>
          </w:hyperlink>
        </w:p>
        <w:p w14:paraId="5575AB9A" w14:textId="77777777" w:rsidR="00FB0228" w:rsidRDefault="00FB0228">
          <w:pPr>
            <w:pStyle w:val="TOC3"/>
            <w:tabs>
              <w:tab w:val="left" w:pos="1320"/>
              <w:tab w:val="right" w:leader="dot" w:pos="8803"/>
            </w:tabs>
            <w:rPr>
              <w:rFonts w:eastAsiaTheme="minorEastAsia" w:cstheme="minorBidi"/>
              <w:noProof/>
              <w:sz w:val="22"/>
              <w:szCs w:val="22"/>
            </w:rPr>
          </w:pPr>
          <w:hyperlink w:anchor="_Toc419122190" w:history="1">
            <w:r w:rsidRPr="00B502CD">
              <w:rPr>
                <w:rStyle w:val="Hyperlink"/>
                <w:rFonts w:eastAsiaTheme="minorHAnsi"/>
                <w:noProof/>
              </w:rPr>
              <w:t>1.2.2</w:t>
            </w:r>
            <w:r>
              <w:rPr>
                <w:rFonts w:eastAsiaTheme="minorEastAsia" w:cstheme="minorBidi"/>
                <w:noProof/>
                <w:sz w:val="22"/>
                <w:szCs w:val="22"/>
              </w:rPr>
              <w:tab/>
            </w:r>
            <w:r w:rsidRPr="00B502CD">
              <w:rPr>
                <w:rStyle w:val="Hyperlink"/>
                <w:rFonts w:eastAsiaTheme="minorHAnsi"/>
                <w:noProof/>
              </w:rPr>
              <w:t>Fonts</w:t>
            </w:r>
            <w:r>
              <w:rPr>
                <w:noProof/>
                <w:webHidden/>
              </w:rPr>
              <w:tab/>
            </w:r>
            <w:r>
              <w:rPr>
                <w:noProof/>
                <w:webHidden/>
              </w:rPr>
              <w:fldChar w:fldCharType="begin"/>
            </w:r>
            <w:r>
              <w:rPr>
                <w:noProof/>
                <w:webHidden/>
              </w:rPr>
              <w:instrText xml:space="preserve"> PAGEREF _Toc419122190 \h </w:instrText>
            </w:r>
            <w:r>
              <w:rPr>
                <w:noProof/>
                <w:webHidden/>
              </w:rPr>
            </w:r>
            <w:r>
              <w:rPr>
                <w:noProof/>
                <w:webHidden/>
              </w:rPr>
              <w:fldChar w:fldCharType="separate"/>
            </w:r>
            <w:r w:rsidR="00E84F4B">
              <w:rPr>
                <w:noProof/>
                <w:webHidden/>
              </w:rPr>
              <w:t>2</w:t>
            </w:r>
            <w:r>
              <w:rPr>
                <w:noProof/>
                <w:webHidden/>
              </w:rPr>
              <w:fldChar w:fldCharType="end"/>
            </w:r>
          </w:hyperlink>
        </w:p>
        <w:p w14:paraId="1E4509F0" w14:textId="77777777" w:rsidR="00FB0228" w:rsidRDefault="00FB0228">
          <w:pPr>
            <w:pStyle w:val="TOC3"/>
            <w:tabs>
              <w:tab w:val="left" w:pos="1320"/>
              <w:tab w:val="right" w:leader="dot" w:pos="8803"/>
            </w:tabs>
            <w:rPr>
              <w:rFonts w:eastAsiaTheme="minorEastAsia" w:cstheme="minorBidi"/>
              <w:noProof/>
              <w:sz w:val="22"/>
              <w:szCs w:val="22"/>
            </w:rPr>
          </w:pPr>
          <w:hyperlink w:anchor="_Toc419122191" w:history="1">
            <w:r w:rsidRPr="00B502CD">
              <w:rPr>
                <w:rStyle w:val="Hyperlink"/>
                <w:noProof/>
              </w:rPr>
              <w:t>1.2.3</w:t>
            </w:r>
            <w:r>
              <w:rPr>
                <w:rFonts w:eastAsiaTheme="minorEastAsia" w:cstheme="minorBidi"/>
                <w:noProof/>
                <w:sz w:val="22"/>
                <w:szCs w:val="22"/>
              </w:rPr>
              <w:tab/>
            </w:r>
            <w:r w:rsidRPr="00B502CD">
              <w:rPr>
                <w:rStyle w:val="Hyperlink"/>
                <w:noProof/>
              </w:rPr>
              <w:t>UML Package References</w:t>
            </w:r>
            <w:r>
              <w:rPr>
                <w:noProof/>
                <w:webHidden/>
              </w:rPr>
              <w:tab/>
            </w:r>
            <w:r>
              <w:rPr>
                <w:noProof/>
                <w:webHidden/>
              </w:rPr>
              <w:fldChar w:fldCharType="begin"/>
            </w:r>
            <w:r>
              <w:rPr>
                <w:noProof/>
                <w:webHidden/>
              </w:rPr>
              <w:instrText xml:space="preserve"> PAGEREF _Toc419122191 \h </w:instrText>
            </w:r>
            <w:r>
              <w:rPr>
                <w:noProof/>
                <w:webHidden/>
              </w:rPr>
            </w:r>
            <w:r>
              <w:rPr>
                <w:noProof/>
                <w:webHidden/>
              </w:rPr>
              <w:fldChar w:fldCharType="separate"/>
            </w:r>
            <w:r w:rsidR="00E84F4B">
              <w:rPr>
                <w:noProof/>
                <w:webHidden/>
              </w:rPr>
              <w:t>3</w:t>
            </w:r>
            <w:r>
              <w:rPr>
                <w:noProof/>
                <w:webHidden/>
              </w:rPr>
              <w:fldChar w:fldCharType="end"/>
            </w:r>
          </w:hyperlink>
        </w:p>
        <w:p w14:paraId="599B119B" w14:textId="77777777" w:rsidR="00FB0228" w:rsidRDefault="00FB0228">
          <w:pPr>
            <w:pStyle w:val="TOC3"/>
            <w:tabs>
              <w:tab w:val="left" w:pos="1320"/>
              <w:tab w:val="right" w:leader="dot" w:pos="8803"/>
            </w:tabs>
            <w:rPr>
              <w:rFonts w:eastAsiaTheme="minorEastAsia" w:cstheme="minorBidi"/>
              <w:noProof/>
              <w:sz w:val="22"/>
              <w:szCs w:val="22"/>
            </w:rPr>
          </w:pPr>
          <w:hyperlink w:anchor="_Toc419122192" w:history="1">
            <w:r w:rsidRPr="00B502CD">
              <w:rPr>
                <w:rStyle w:val="Hyperlink"/>
                <w:noProof/>
              </w:rPr>
              <w:t>1.2.4</w:t>
            </w:r>
            <w:r>
              <w:rPr>
                <w:rFonts w:eastAsiaTheme="minorEastAsia" w:cstheme="minorBidi"/>
                <w:noProof/>
                <w:sz w:val="22"/>
                <w:szCs w:val="22"/>
              </w:rPr>
              <w:tab/>
            </w:r>
            <w:r w:rsidRPr="00B502CD">
              <w:rPr>
                <w:rStyle w:val="Hyperlink"/>
                <w:noProof/>
              </w:rPr>
              <w:t>UML Diagrams</w:t>
            </w:r>
            <w:r>
              <w:rPr>
                <w:noProof/>
                <w:webHidden/>
              </w:rPr>
              <w:tab/>
            </w:r>
            <w:r>
              <w:rPr>
                <w:noProof/>
                <w:webHidden/>
              </w:rPr>
              <w:fldChar w:fldCharType="begin"/>
            </w:r>
            <w:r>
              <w:rPr>
                <w:noProof/>
                <w:webHidden/>
              </w:rPr>
              <w:instrText xml:space="preserve"> PAGEREF _Toc419122192 \h </w:instrText>
            </w:r>
            <w:r>
              <w:rPr>
                <w:noProof/>
                <w:webHidden/>
              </w:rPr>
            </w:r>
            <w:r>
              <w:rPr>
                <w:noProof/>
                <w:webHidden/>
              </w:rPr>
              <w:fldChar w:fldCharType="separate"/>
            </w:r>
            <w:r w:rsidR="00E84F4B">
              <w:rPr>
                <w:noProof/>
                <w:webHidden/>
              </w:rPr>
              <w:t>3</w:t>
            </w:r>
            <w:r>
              <w:rPr>
                <w:noProof/>
                <w:webHidden/>
              </w:rPr>
              <w:fldChar w:fldCharType="end"/>
            </w:r>
          </w:hyperlink>
        </w:p>
        <w:p w14:paraId="2CFF43D9" w14:textId="77777777" w:rsidR="00FB0228" w:rsidRDefault="00FB0228">
          <w:pPr>
            <w:pStyle w:val="TOC3"/>
            <w:tabs>
              <w:tab w:val="left" w:pos="1320"/>
              <w:tab w:val="right" w:leader="dot" w:pos="8803"/>
            </w:tabs>
            <w:rPr>
              <w:rFonts w:eastAsiaTheme="minorEastAsia" w:cstheme="minorBidi"/>
              <w:noProof/>
              <w:sz w:val="22"/>
              <w:szCs w:val="22"/>
            </w:rPr>
          </w:pPr>
          <w:hyperlink w:anchor="_Toc419122193" w:history="1">
            <w:r w:rsidRPr="00B502CD">
              <w:rPr>
                <w:rStyle w:val="Hyperlink"/>
                <w:noProof/>
              </w:rPr>
              <w:t>1.2.5</w:t>
            </w:r>
            <w:r>
              <w:rPr>
                <w:rFonts w:eastAsiaTheme="minorEastAsia" w:cstheme="minorBidi"/>
                <w:noProof/>
                <w:sz w:val="22"/>
                <w:szCs w:val="22"/>
              </w:rPr>
              <w:tab/>
            </w:r>
            <w:r w:rsidRPr="00B502CD">
              <w:rPr>
                <w:rStyle w:val="Hyperlink"/>
                <w:noProof/>
              </w:rPr>
              <w:t>Property Table Notation</w:t>
            </w:r>
            <w:r>
              <w:rPr>
                <w:noProof/>
                <w:webHidden/>
              </w:rPr>
              <w:tab/>
            </w:r>
            <w:r>
              <w:rPr>
                <w:noProof/>
                <w:webHidden/>
              </w:rPr>
              <w:fldChar w:fldCharType="begin"/>
            </w:r>
            <w:r>
              <w:rPr>
                <w:noProof/>
                <w:webHidden/>
              </w:rPr>
              <w:instrText xml:space="preserve"> PAGEREF _Toc419122193 \h </w:instrText>
            </w:r>
            <w:r>
              <w:rPr>
                <w:noProof/>
                <w:webHidden/>
              </w:rPr>
            </w:r>
            <w:r>
              <w:rPr>
                <w:noProof/>
                <w:webHidden/>
              </w:rPr>
              <w:fldChar w:fldCharType="separate"/>
            </w:r>
            <w:r w:rsidR="00E84F4B">
              <w:rPr>
                <w:noProof/>
                <w:webHidden/>
              </w:rPr>
              <w:t>5</w:t>
            </w:r>
            <w:r>
              <w:rPr>
                <w:noProof/>
                <w:webHidden/>
              </w:rPr>
              <w:fldChar w:fldCharType="end"/>
            </w:r>
          </w:hyperlink>
        </w:p>
        <w:p w14:paraId="57DA9BD2" w14:textId="77777777" w:rsidR="00FB0228" w:rsidRDefault="00FB0228">
          <w:pPr>
            <w:pStyle w:val="TOC3"/>
            <w:tabs>
              <w:tab w:val="left" w:pos="1320"/>
              <w:tab w:val="right" w:leader="dot" w:pos="8803"/>
            </w:tabs>
            <w:rPr>
              <w:rFonts w:eastAsiaTheme="minorEastAsia" w:cstheme="minorBidi"/>
              <w:noProof/>
              <w:sz w:val="22"/>
              <w:szCs w:val="22"/>
            </w:rPr>
          </w:pPr>
          <w:hyperlink w:anchor="_Toc419122194" w:history="1">
            <w:r w:rsidRPr="00B502CD">
              <w:rPr>
                <w:rStyle w:val="Hyperlink"/>
                <w:noProof/>
              </w:rPr>
              <w:t>1.2.6</w:t>
            </w:r>
            <w:r>
              <w:rPr>
                <w:rFonts w:eastAsiaTheme="minorEastAsia" w:cstheme="minorBidi"/>
                <w:noProof/>
                <w:sz w:val="22"/>
                <w:szCs w:val="22"/>
              </w:rPr>
              <w:tab/>
            </w:r>
            <w:r w:rsidRPr="00B502CD">
              <w:rPr>
                <w:rStyle w:val="Hyperlink"/>
                <w:noProof/>
              </w:rPr>
              <w:t>Property and Class Descriptions</w:t>
            </w:r>
            <w:r>
              <w:rPr>
                <w:noProof/>
                <w:webHidden/>
              </w:rPr>
              <w:tab/>
            </w:r>
            <w:r>
              <w:rPr>
                <w:noProof/>
                <w:webHidden/>
              </w:rPr>
              <w:fldChar w:fldCharType="begin"/>
            </w:r>
            <w:r>
              <w:rPr>
                <w:noProof/>
                <w:webHidden/>
              </w:rPr>
              <w:instrText xml:space="preserve"> PAGEREF _Toc419122194 \h </w:instrText>
            </w:r>
            <w:r>
              <w:rPr>
                <w:noProof/>
                <w:webHidden/>
              </w:rPr>
            </w:r>
            <w:r>
              <w:rPr>
                <w:noProof/>
                <w:webHidden/>
              </w:rPr>
              <w:fldChar w:fldCharType="separate"/>
            </w:r>
            <w:r w:rsidR="00E84F4B">
              <w:rPr>
                <w:noProof/>
                <w:webHidden/>
              </w:rPr>
              <w:t>5</w:t>
            </w:r>
            <w:r>
              <w:rPr>
                <w:noProof/>
                <w:webHidden/>
              </w:rPr>
              <w:fldChar w:fldCharType="end"/>
            </w:r>
          </w:hyperlink>
        </w:p>
        <w:p w14:paraId="7898A5C5" w14:textId="77777777" w:rsidR="00FB0228" w:rsidRDefault="00FB0228">
          <w:pPr>
            <w:pStyle w:val="TOC1"/>
            <w:rPr>
              <w:rFonts w:eastAsiaTheme="minorEastAsia" w:cstheme="minorBidi"/>
              <w:b w:val="0"/>
              <w:sz w:val="22"/>
              <w:szCs w:val="22"/>
            </w:rPr>
          </w:pPr>
          <w:hyperlink w:anchor="_Toc419122195" w:history="1">
            <w:r w:rsidRPr="00B502CD">
              <w:rPr>
                <w:rStyle w:val="Hyperlink"/>
              </w:rPr>
              <w:t>2</w:t>
            </w:r>
            <w:r>
              <w:rPr>
                <w:rFonts w:eastAsiaTheme="minorEastAsia" w:cstheme="minorBidi"/>
                <w:b w:val="0"/>
                <w:sz w:val="22"/>
                <w:szCs w:val="22"/>
              </w:rPr>
              <w:tab/>
            </w:r>
            <w:r w:rsidRPr="00B502CD">
              <w:rPr>
                <w:rStyle w:val="Hyperlink"/>
              </w:rPr>
              <w:t>Background Information</w:t>
            </w:r>
            <w:r>
              <w:rPr>
                <w:webHidden/>
              </w:rPr>
              <w:tab/>
            </w:r>
            <w:r>
              <w:rPr>
                <w:webHidden/>
              </w:rPr>
              <w:fldChar w:fldCharType="begin"/>
            </w:r>
            <w:r>
              <w:rPr>
                <w:webHidden/>
              </w:rPr>
              <w:instrText xml:space="preserve"> PAGEREF _Toc419122195 \h </w:instrText>
            </w:r>
            <w:r>
              <w:rPr>
                <w:webHidden/>
              </w:rPr>
            </w:r>
            <w:r>
              <w:rPr>
                <w:webHidden/>
              </w:rPr>
              <w:fldChar w:fldCharType="separate"/>
            </w:r>
            <w:r w:rsidR="00E84F4B">
              <w:rPr>
                <w:webHidden/>
              </w:rPr>
              <w:t>7</w:t>
            </w:r>
            <w:r>
              <w:rPr>
                <w:webHidden/>
              </w:rPr>
              <w:fldChar w:fldCharType="end"/>
            </w:r>
          </w:hyperlink>
        </w:p>
        <w:p w14:paraId="131C78A5" w14:textId="77777777" w:rsidR="00FB0228" w:rsidRDefault="00FB0228">
          <w:pPr>
            <w:pStyle w:val="TOC2"/>
            <w:tabs>
              <w:tab w:val="left" w:pos="880"/>
              <w:tab w:val="right" w:leader="dot" w:pos="8803"/>
            </w:tabs>
            <w:rPr>
              <w:rFonts w:eastAsiaTheme="minorEastAsia" w:cstheme="minorBidi"/>
              <w:noProof/>
              <w:sz w:val="22"/>
              <w:szCs w:val="22"/>
            </w:rPr>
          </w:pPr>
          <w:hyperlink w:anchor="_Toc419122196" w:history="1">
            <w:r w:rsidRPr="00B502CD">
              <w:rPr>
                <w:rStyle w:val="Hyperlink"/>
                <w:noProof/>
              </w:rPr>
              <w:t>2.1</w:t>
            </w:r>
            <w:r>
              <w:rPr>
                <w:rFonts w:eastAsiaTheme="minorEastAsia" w:cstheme="minorBidi"/>
                <w:noProof/>
                <w:sz w:val="22"/>
                <w:szCs w:val="22"/>
              </w:rPr>
              <w:tab/>
            </w:r>
            <w:r w:rsidRPr="00B502CD">
              <w:rPr>
                <w:rStyle w:val="Hyperlink"/>
                <w:noProof/>
              </w:rPr>
              <w:t>Course of Action-Related Component Data Models</w:t>
            </w:r>
            <w:r>
              <w:rPr>
                <w:noProof/>
                <w:webHidden/>
              </w:rPr>
              <w:tab/>
            </w:r>
            <w:r>
              <w:rPr>
                <w:noProof/>
                <w:webHidden/>
              </w:rPr>
              <w:fldChar w:fldCharType="begin"/>
            </w:r>
            <w:r>
              <w:rPr>
                <w:noProof/>
                <w:webHidden/>
              </w:rPr>
              <w:instrText xml:space="preserve"> PAGEREF _Toc419122196 \h </w:instrText>
            </w:r>
            <w:r>
              <w:rPr>
                <w:noProof/>
                <w:webHidden/>
              </w:rPr>
            </w:r>
            <w:r>
              <w:rPr>
                <w:noProof/>
                <w:webHidden/>
              </w:rPr>
              <w:fldChar w:fldCharType="separate"/>
            </w:r>
            <w:r w:rsidR="00E84F4B">
              <w:rPr>
                <w:noProof/>
                <w:webHidden/>
              </w:rPr>
              <w:t>7</w:t>
            </w:r>
            <w:r>
              <w:rPr>
                <w:noProof/>
                <w:webHidden/>
              </w:rPr>
              <w:fldChar w:fldCharType="end"/>
            </w:r>
          </w:hyperlink>
        </w:p>
        <w:p w14:paraId="464D1201" w14:textId="77777777" w:rsidR="00FB0228" w:rsidRDefault="00FB0228">
          <w:pPr>
            <w:pStyle w:val="TOC1"/>
            <w:rPr>
              <w:rFonts w:eastAsiaTheme="minorEastAsia" w:cstheme="minorBidi"/>
              <w:b w:val="0"/>
              <w:sz w:val="22"/>
              <w:szCs w:val="22"/>
            </w:rPr>
          </w:pPr>
          <w:hyperlink w:anchor="_Toc419122197" w:history="1">
            <w:r w:rsidRPr="00B502CD">
              <w:rPr>
                <w:rStyle w:val="Hyperlink"/>
              </w:rPr>
              <w:t>3</w:t>
            </w:r>
            <w:r>
              <w:rPr>
                <w:rFonts w:eastAsiaTheme="minorEastAsia" w:cstheme="minorBidi"/>
                <w:b w:val="0"/>
                <w:sz w:val="22"/>
                <w:szCs w:val="22"/>
              </w:rPr>
              <w:tab/>
            </w:r>
            <w:r w:rsidRPr="00B502CD">
              <w:rPr>
                <w:rStyle w:val="Hyperlink"/>
              </w:rPr>
              <w:t>STIX Course of Action Data Model</w:t>
            </w:r>
            <w:r>
              <w:rPr>
                <w:webHidden/>
              </w:rPr>
              <w:tab/>
            </w:r>
            <w:r>
              <w:rPr>
                <w:webHidden/>
              </w:rPr>
              <w:fldChar w:fldCharType="begin"/>
            </w:r>
            <w:r>
              <w:rPr>
                <w:webHidden/>
              </w:rPr>
              <w:instrText xml:space="preserve"> PAGEREF _Toc419122197 \h </w:instrText>
            </w:r>
            <w:r>
              <w:rPr>
                <w:webHidden/>
              </w:rPr>
            </w:r>
            <w:r>
              <w:rPr>
                <w:webHidden/>
              </w:rPr>
              <w:fldChar w:fldCharType="separate"/>
            </w:r>
            <w:r w:rsidR="00E84F4B">
              <w:rPr>
                <w:webHidden/>
              </w:rPr>
              <w:t>9</w:t>
            </w:r>
            <w:r>
              <w:rPr>
                <w:webHidden/>
              </w:rPr>
              <w:fldChar w:fldCharType="end"/>
            </w:r>
          </w:hyperlink>
        </w:p>
        <w:p w14:paraId="15B895D2" w14:textId="77777777" w:rsidR="00FB0228" w:rsidRDefault="00FB0228">
          <w:pPr>
            <w:pStyle w:val="TOC2"/>
            <w:tabs>
              <w:tab w:val="left" w:pos="880"/>
              <w:tab w:val="right" w:leader="dot" w:pos="8803"/>
            </w:tabs>
            <w:rPr>
              <w:rFonts w:eastAsiaTheme="minorEastAsia" w:cstheme="minorBidi"/>
              <w:noProof/>
              <w:sz w:val="22"/>
              <w:szCs w:val="22"/>
            </w:rPr>
          </w:pPr>
          <w:hyperlink w:anchor="_Toc419122198" w:history="1">
            <w:r w:rsidRPr="00B502CD">
              <w:rPr>
                <w:rStyle w:val="Hyperlink"/>
                <w:noProof/>
              </w:rPr>
              <w:t>3.1</w:t>
            </w:r>
            <w:r>
              <w:rPr>
                <w:rFonts w:eastAsiaTheme="minorEastAsia" w:cstheme="minorBidi"/>
                <w:noProof/>
                <w:sz w:val="22"/>
                <w:szCs w:val="22"/>
              </w:rPr>
              <w:tab/>
            </w:r>
            <w:r w:rsidRPr="00B502CD">
              <w:rPr>
                <w:rStyle w:val="Hyperlink"/>
                <w:noProof/>
              </w:rPr>
              <w:t>CourseOfActionVersionType Enumeration</w:t>
            </w:r>
            <w:r>
              <w:rPr>
                <w:noProof/>
                <w:webHidden/>
              </w:rPr>
              <w:tab/>
            </w:r>
            <w:r>
              <w:rPr>
                <w:noProof/>
                <w:webHidden/>
              </w:rPr>
              <w:fldChar w:fldCharType="begin"/>
            </w:r>
            <w:r>
              <w:rPr>
                <w:noProof/>
                <w:webHidden/>
              </w:rPr>
              <w:instrText xml:space="preserve"> PAGEREF _Toc419122198 \h </w:instrText>
            </w:r>
            <w:r>
              <w:rPr>
                <w:noProof/>
                <w:webHidden/>
              </w:rPr>
            </w:r>
            <w:r>
              <w:rPr>
                <w:noProof/>
                <w:webHidden/>
              </w:rPr>
              <w:fldChar w:fldCharType="separate"/>
            </w:r>
            <w:r w:rsidR="00E84F4B">
              <w:rPr>
                <w:noProof/>
                <w:webHidden/>
              </w:rPr>
              <w:t>12</w:t>
            </w:r>
            <w:r>
              <w:rPr>
                <w:noProof/>
                <w:webHidden/>
              </w:rPr>
              <w:fldChar w:fldCharType="end"/>
            </w:r>
          </w:hyperlink>
        </w:p>
        <w:p w14:paraId="65584A84" w14:textId="77777777" w:rsidR="00FB0228" w:rsidRDefault="00FB0228">
          <w:pPr>
            <w:pStyle w:val="TOC2"/>
            <w:tabs>
              <w:tab w:val="left" w:pos="880"/>
              <w:tab w:val="right" w:leader="dot" w:pos="8803"/>
            </w:tabs>
            <w:rPr>
              <w:rFonts w:eastAsiaTheme="minorEastAsia" w:cstheme="minorBidi"/>
              <w:noProof/>
              <w:sz w:val="22"/>
              <w:szCs w:val="22"/>
            </w:rPr>
          </w:pPr>
          <w:hyperlink w:anchor="_Toc419122199" w:history="1">
            <w:r w:rsidRPr="00B502CD">
              <w:rPr>
                <w:rStyle w:val="Hyperlink"/>
                <w:noProof/>
              </w:rPr>
              <w:t>3.2</w:t>
            </w:r>
            <w:r>
              <w:rPr>
                <w:rFonts w:eastAsiaTheme="minorEastAsia" w:cstheme="minorBidi"/>
                <w:noProof/>
                <w:sz w:val="22"/>
                <w:szCs w:val="22"/>
              </w:rPr>
              <w:tab/>
            </w:r>
            <w:r w:rsidRPr="00B502CD">
              <w:rPr>
                <w:rStyle w:val="Hyperlink"/>
                <w:noProof/>
              </w:rPr>
              <w:t>StructuredCOAType Class</w:t>
            </w:r>
            <w:r>
              <w:rPr>
                <w:noProof/>
                <w:webHidden/>
              </w:rPr>
              <w:tab/>
            </w:r>
            <w:r>
              <w:rPr>
                <w:noProof/>
                <w:webHidden/>
              </w:rPr>
              <w:fldChar w:fldCharType="begin"/>
            </w:r>
            <w:r>
              <w:rPr>
                <w:noProof/>
                <w:webHidden/>
              </w:rPr>
              <w:instrText xml:space="preserve"> PAGEREF _Toc419122199 \h </w:instrText>
            </w:r>
            <w:r>
              <w:rPr>
                <w:noProof/>
                <w:webHidden/>
              </w:rPr>
            </w:r>
            <w:r>
              <w:rPr>
                <w:noProof/>
                <w:webHidden/>
              </w:rPr>
              <w:fldChar w:fldCharType="separate"/>
            </w:r>
            <w:r w:rsidR="00E84F4B">
              <w:rPr>
                <w:noProof/>
                <w:webHidden/>
              </w:rPr>
              <w:t>12</w:t>
            </w:r>
            <w:r>
              <w:rPr>
                <w:noProof/>
                <w:webHidden/>
              </w:rPr>
              <w:fldChar w:fldCharType="end"/>
            </w:r>
          </w:hyperlink>
        </w:p>
        <w:p w14:paraId="072F90C2" w14:textId="77777777" w:rsidR="00FB0228" w:rsidRDefault="00FB0228">
          <w:pPr>
            <w:pStyle w:val="TOC2"/>
            <w:tabs>
              <w:tab w:val="left" w:pos="880"/>
              <w:tab w:val="right" w:leader="dot" w:pos="8803"/>
            </w:tabs>
            <w:rPr>
              <w:rFonts w:eastAsiaTheme="minorEastAsia" w:cstheme="minorBidi"/>
              <w:noProof/>
              <w:sz w:val="22"/>
              <w:szCs w:val="22"/>
            </w:rPr>
          </w:pPr>
          <w:hyperlink w:anchor="_Toc419122200" w:history="1">
            <w:r w:rsidRPr="00B502CD">
              <w:rPr>
                <w:rStyle w:val="Hyperlink"/>
                <w:noProof/>
              </w:rPr>
              <w:t>3.3</w:t>
            </w:r>
            <w:r>
              <w:rPr>
                <w:rFonts w:eastAsiaTheme="minorEastAsia" w:cstheme="minorBidi"/>
                <w:noProof/>
                <w:sz w:val="22"/>
                <w:szCs w:val="22"/>
              </w:rPr>
              <w:tab/>
            </w:r>
            <w:r w:rsidRPr="00B502CD">
              <w:rPr>
                <w:rStyle w:val="Hyperlink"/>
                <w:noProof/>
              </w:rPr>
              <w:t>ObjectiveType Class</w:t>
            </w:r>
            <w:r>
              <w:rPr>
                <w:noProof/>
                <w:webHidden/>
              </w:rPr>
              <w:tab/>
            </w:r>
            <w:r>
              <w:rPr>
                <w:noProof/>
                <w:webHidden/>
              </w:rPr>
              <w:fldChar w:fldCharType="begin"/>
            </w:r>
            <w:r>
              <w:rPr>
                <w:noProof/>
                <w:webHidden/>
              </w:rPr>
              <w:instrText xml:space="preserve"> PAGEREF _Toc419122200 \h </w:instrText>
            </w:r>
            <w:r>
              <w:rPr>
                <w:noProof/>
                <w:webHidden/>
              </w:rPr>
            </w:r>
            <w:r>
              <w:rPr>
                <w:noProof/>
                <w:webHidden/>
              </w:rPr>
              <w:fldChar w:fldCharType="separate"/>
            </w:r>
            <w:r w:rsidR="00E84F4B">
              <w:rPr>
                <w:noProof/>
                <w:webHidden/>
              </w:rPr>
              <w:t>12</w:t>
            </w:r>
            <w:r>
              <w:rPr>
                <w:noProof/>
                <w:webHidden/>
              </w:rPr>
              <w:fldChar w:fldCharType="end"/>
            </w:r>
          </w:hyperlink>
        </w:p>
        <w:p w14:paraId="46D11E0B" w14:textId="77777777" w:rsidR="00FB0228" w:rsidRDefault="00FB0228">
          <w:pPr>
            <w:pStyle w:val="TOC2"/>
            <w:tabs>
              <w:tab w:val="left" w:pos="880"/>
              <w:tab w:val="right" w:leader="dot" w:pos="8803"/>
            </w:tabs>
            <w:rPr>
              <w:rFonts w:eastAsiaTheme="minorEastAsia" w:cstheme="minorBidi"/>
              <w:noProof/>
              <w:sz w:val="22"/>
              <w:szCs w:val="22"/>
            </w:rPr>
          </w:pPr>
          <w:hyperlink w:anchor="_Toc419122201" w:history="1">
            <w:r w:rsidRPr="00B502CD">
              <w:rPr>
                <w:rStyle w:val="Hyperlink"/>
                <w:noProof/>
              </w:rPr>
              <w:t>3.4</w:t>
            </w:r>
            <w:r>
              <w:rPr>
                <w:rFonts w:eastAsiaTheme="minorEastAsia" w:cstheme="minorBidi"/>
                <w:noProof/>
                <w:sz w:val="22"/>
                <w:szCs w:val="22"/>
              </w:rPr>
              <w:tab/>
            </w:r>
            <w:r w:rsidRPr="00B502CD">
              <w:rPr>
                <w:rStyle w:val="Hyperlink"/>
                <w:noProof/>
              </w:rPr>
              <w:t>RelatedCOAsType Class</w:t>
            </w:r>
            <w:r>
              <w:rPr>
                <w:noProof/>
                <w:webHidden/>
              </w:rPr>
              <w:tab/>
            </w:r>
            <w:r>
              <w:rPr>
                <w:noProof/>
                <w:webHidden/>
              </w:rPr>
              <w:fldChar w:fldCharType="begin"/>
            </w:r>
            <w:r>
              <w:rPr>
                <w:noProof/>
                <w:webHidden/>
              </w:rPr>
              <w:instrText xml:space="preserve"> PAGEREF _Toc419122201 \h </w:instrText>
            </w:r>
            <w:r>
              <w:rPr>
                <w:noProof/>
                <w:webHidden/>
              </w:rPr>
            </w:r>
            <w:r>
              <w:rPr>
                <w:noProof/>
                <w:webHidden/>
              </w:rPr>
              <w:fldChar w:fldCharType="separate"/>
            </w:r>
            <w:r w:rsidR="00E84F4B">
              <w:rPr>
                <w:noProof/>
                <w:webHidden/>
              </w:rPr>
              <w:t>13</w:t>
            </w:r>
            <w:r>
              <w:rPr>
                <w:noProof/>
                <w:webHidden/>
              </w:rPr>
              <w:fldChar w:fldCharType="end"/>
            </w:r>
          </w:hyperlink>
        </w:p>
        <w:p w14:paraId="5F7A7558" w14:textId="77777777" w:rsidR="00FB0228" w:rsidRDefault="00FB0228">
          <w:pPr>
            <w:pStyle w:val="TOC1"/>
            <w:rPr>
              <w:rFonts w:eastAsiaTheme="minorEastAsia" w:cstheme="minorBidi"/>
              <w:b w:val="0"/>
              <w:sz w:val="22"/>
              <w:szCs w:val="22"/>
            </w:rPr>
          </w:pPr>
          <w:hyperlink w:anchor="_Toc419122202" w:history="1">
            <w:r w:rsidRPr="00B502CD">
              <w:rPr>
                <w:rStyle w:val="Hyperlink"/>
              </w:rPr>
              <w:t>References</w:t>
            </w:r>
            <w:r>
              <w:rPr>
                <w:webHidden/>
              </w:rPr>
              <w:tab/>
            </w:r>
            <w:r>
              <w:rPr>
                <w:webHidden/>
              </w:rPr>
              <w:fldChar w:fldCharType="begin"/>
            </w:r>
            <w:r>
              <w:rPr>
                <w:webHidden/>
              </w:rPr>
              <w:instrText xml:space="preserve"> PAGEREF _Toc419122202 \h </w:instrText>
            </w:r>
            <w:r>
              <w:rPr>
                <w:webHidden/>
              </w:rPr>
            </w:r>
            <w:r>
              <w:rPr>
                <w:webHidden/>
              </w:rPr>
              <w:fldChar w:fldCharType="separate"/>
            </w:r>
            <w:r w:rsidR="00E84F4B">
              <w:rPr>
                <w:webHidden/>
              </w:rPr>
              <w:t>15</w:t>
            </w:r>
            <w:r>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B21503"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12"/>
          <w:footerReference w:type="default" r:id="rId13"/>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19122186"/>
      <w:r>
        <w:lastRenderedPageBreak/>
        <w:t>Introduction</w:t>
      </w:r>
      <w:bookmarkEnd w:id="2"/>
      <w:bookmarkEnd w:id="3"/>
    </w:p>
    <w:p w14:paraId="2D523F45" w14:textId="0C30CE55"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framework defines eight component data models:  Observable</w:t>
      </w:r>
      <w:r w:rsidR="00D80343">
        <w:rPr>
          <w:rStyle w:val="FootnoteReference"/>
        </w:rPr>
        <w:footnoteReference w:id="3"/>
      </w:r>
      <w:r>
        <w:t xml:space="preserv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1B7253D3"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E84F4B">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E84F4B">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E84F4B">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E84F4B">
        <w:t>3</w:t>
      </w:r>
      <w:r w:rsidR="007420E5">
        <w:fldChar w:fldCharType="end"/>
      </w:r>
      <w:r>
        <w:t>. References are provided in the final section.</w:t>
      </w:r>
    </w:p>
    <w:p w14:paraId="2EA4D180" w14:textId="0405EFCC" w:rsidR="004E0D87" w:rsidRDefault="004E0D87" w:rsidP="00592BBC">
      <w:pPr>
        <w:pStyle w:val="Heading2"/>
      </w:pPr>
      <w:bookmarkStart w:id="6" w:name="_Ref412984547"/>
      <w:bookmarkStart w:id="7" w:name="_Toc419122187"/>
      <w:r>
        <w:t>STIX Specification Documents</w:t>
      </w:r>
      <w:bookmarkEnd w:id="6"/>
      <w:bookmarkEnd w:id="7"/>
    </w:p>
    <w:p w14:paraId="392E114F" w14:textId="2D31D02F" w:rsidR="00A67651" w:rsidRDefault="00A67651" w:rsidP="006C7D7E">
      <w:pPr>
        <w:autoSpaceDE w:val="0"/>
        <w:autoSpaceDN w:val="0"/>
        <w:spacing w:after="240"/>
        <w:rPr>
          <w:rFonts w:eastAsiaTheme="minorHAnsi"/>
        </w:rPr>
      </w:pPr>
      <w:r>
        <w:t xml:space="preserve">The STIX specification </w:t>
      </w:r>
      <w:r w:rsidR="00B83BA8">
        <w:t>consists of</w:t>
      </w:r>
      <w:r>
        <w:t xml:space="preserve"> a formal UML model and a set of textual specification documents that explain the UML model.  Specification documents have been written for each of the </w:t>
      </w:r>
      <w:r w:rsidR="00B83BA8">
        <w:t xml:space="preserve">key </w:t>
      </w:r>
      <w:r>
        <w:t>individual data models that co</w:t>
      </w:r>
      <w:r w:rsidR="00713329">
        <w:t>mpose the full STIX UML model.</w:t>
      </w:r>
    </w:p>
    <w:p w14:paraId="375AC5DD" w14:textId="5D771842"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xml:space="preserve">, which in addition to the eight top-level component data models mentioned in the Introduction, includes a core data model, a common data model, a cross-cutting data marking data model, </w:t>
      </w:r>
      <w:r w:rsidR="00B83BA8">
        <w:t xml:space="preserve">various extension data models, </w:t>
      </w:r>
      <w:r>
        <w:t>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E84F4B" w:rsidRPr="00853898">
        <w:t xml:space="preserve">Figure </w:t>
      </w:r>
      <w:r w:rsidR="00E84F4B">
        <w:rPr>
          <w:noProof/>
        </w:rPr>
        <w:t>1</w:t>
      </w:r>
      <w:r w:rsidR="00E84F4B" w:rsidRPr="00853898">
        <w:noBreakHyphen/>
      </w:r>
      <w:r w:rsidR="00E84F4B">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E84F4B">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423BEE">
      <w:pPr>
        <w:pStyle w:val="Caption"/>
        <w:spacing w:after="240"/>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E84F4B">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E84F4B">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v1.1.1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1" w:name="_Ref413676906"/>
      <w:bookmarkStart w:id="12" w:name="_Toc419122188"/>
      <w:r>
        <w:rPr>
          <w:lang w:val="en"/>
        </w:rPr>
        <w:t>Document Conventions</w:t>
      </w:r>
      <w:bookmarkEnd w:id="11"/>
      <w:bookmarkEnd w:id="12"/>
    </w:p>
    <w:p w14:paraId="116AE01A" w14:textId="77777777" w:rsidR="00A67651" w:rsidRDefault="00A67651" w:rsidP="007C5D9C">
      <w:pPr>
        <w:spacing w:after="240"/>
      </w:pPr>
      <w:bookmarkStart w:id="13" w:name="_Ref388860303"/>
      <w:bookmarkStart w:id="14" w:name="_Toc389570601"/>
      <w:bookmarkStart w:id="15" w:name="_Toc389581071"/>
      <w:bookmarkStart w:id="16" w:name="_Ref397935245"/>
      <w:bookmarkStart w:id="17" w:name="_Toc401131325"/>
      <w:bookmarkStart w:id="18" w:name="_Ref394437867"/>
      <w:bookmarkEnd w:id="13"/>
      <w:bookmarkEnd w:id="14"/>
      <w:bookmarkEnd w:id="15"/>
      <w:bookmarkEnd w:id="16"/>
      <w:bookmarkEnd w:id="17"/>
      <w:bookmarkEnd w:id="18"/>
      <w:r>
        <w:t>The following conventions are used in this document.</w:t>
      </w:r>
    </w:p>
    <w:p w14:paraId="4CFE59E4" w14:textId="54CB6654" w:rsidR="004E0D87" w:rsidRDefault="004E0D87" w:rsidP="004E0D87">
      <w:pPr>
        <w:pStyle w:val="Heading3"/>
        <w:rPr>
          <w:rFonts w:eastAsiaTheme="minorHAnsi"/>
        </w:rPr>
      </w:pPr>
      <w:bookmarkStart w:id="19" w:name="_Toc419122189"/>
      <w:r>
        <w:rPr>
          <w:rFonts w:eastAsiaTheme="minorHAnsi"/>
        </w:rPr>
        <w:t>Keywords</w:t>
      </w:r>
      <w:bookmarkEnd w:id="19"/>
    </w:p>
    <w:p w14:paraId="1DC04880" w14:textId="77777777" w:rsidR="00A67651" w:rsidRDefault="00A67651" w:rsidP="007C5D9C">
      <w:pPr>
        <w:pStyle w:val="Default"/>
        <w:spacing w:after="240"/>
      </w:pPr>
      <w:bookmarkStart w:id="20" w:name="_Toc389570602"/>
      <w:bookmarkStart w:id="21" w:name="_Toc389581072"/>
      <w:bookmarkEnd w:id="20"/>
      <w:bookmarkEnd w:id="21"/>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2" w:name="_Toc419122190"/>
      <w:r>
        <w:rPr>
          <w:rFonts w:eastAsiaTheme="minorHAnsi"/>
        </w:rPr>
        <w:t>Fonts</w:t>
      </w:r>
      <w:bookmarkEnd w:id="22"/>
    </w:p>
    <w:p w14:paraId="58894482" w14:textId="77777777" w:rsidR="00592BBC" w:rsidRPr="001E345E" w:rsidRDefault="00592BBC" w:rsidP="006C7D7E">
      <w:pPr>
        <w:pStyle w:val="Default"/>
        <w:spacing w:after="240"/>
        <w:rPr>
          <w:szCs w:val="22"/>
        </w:rPr>
      </w:pPr>
      <w:bookmarkStart w:id="23" w:name="_Toc389570603"/>
      <w:bookmarkStart w:id="24" w:name="_Toc389581073"/>
      <w:bookmarkEnd w:id="23"/>
      <w:bookmarkEnd w:id="24"/>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lastRenderedPageBreak/>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5" w:name="_Ref413676876"/>
      <w:bookmarkStart w:id="26" w:name="_Toc419122191"/>
      <w:r>
        <w:t>UML Package References</w:t>
      </w:r>
      <w:bookmarkEnd w:id="25"/>
      <w:bookmarkEnd w:id="26"/>
    </w:p>
    <w:p w14:paraId="5C19EE6B" w14:textId="6DF61825" w:rsidR="00A67651" w:rsidRDefault="00A67651" w:rsidP="006C7D7E">
      <w:pPr>
        <w:spacing w:after="240"/>
        <w:rPr>
          <w:rFonts w:eastAsiaTheme="minorHAnsi"/>
        </w:rPr>
      </w:pPr>
      <w:bookmarkStart w:id="27" w:name="_Ref394486021"/>
      <w:bookmarkStart w:id="28" w:name="_Toc389570605"/>
      <w:bookmarkStart w:id="29" w:name="_Toc389581075"/>
      <w:bookmarkEnd w:id="27"/>
      <w:bookmarkEnd w:id="28"/>
      <w:r>
        <w:t xml:space="preserve">Each STIX data model is captured in a different UML package (e.g., Core package, Campaign package, etc.) where the packages together compose the full STIX UML model.  To refer to a particular class of a specific package, we use the format </w:t>
      </w:r>
      <w:bookmarkEnd w:id="29"/>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1.1.1 Specification Overview </w:t>
      </w:r>
      <w:r>
        <w:t>document [STIX</w:t>
      </w:r>
      <w:r>
        <w:rPr>
          <w:vertAlign w:val="subscript"/>
        </w:rPr>
        <w:t>O</w:t>
      </w:r>
      <w:r>
        <w:t xml:space="preserve">] contains a list of the packages used by the </w:t>
      </w:r>
      <w:r w:rsidR="00845991">
        <w:t>Course of Action</w:t>
      </w:r>
      <w:r>
        <w:t xml:space="preserve"> data model, </w:t>
      </w:r>
      <w:r w:rsidR="00D532F7" w:rsidRPr="00434BA0">
        <w:t>along with the associated prefix notations, descriptions, examples</w:t>
      </w:r>
      <w:r>
        <w:t xml:space="preserv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0" w:name="_Toc419122192"/>
      <w:r>
        <w:t>UML Diagrams</w:t>
      </w:r>
      <w:bookmarkEnd w:id="30"/>
    </w:p>
    <w:p w14:paraId="4EEE8868" w14:textId="704FA3AF" w:rsidR="00A67651" w:rsidRDefault="00A67651" w:rsidP="006C7D7E">
      <w:pPr>
        <w:spacing w:after="240"/>
        <w:rPr>
          <w:rFonts w:eastAsiaTheme="minorHAnsi"/>
        </w:rPr>
      </w:pPr>
      <w:bookmarkStart w:id="31"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4068E4" w:rsidRPr="00434BA0">
        <w:t>Other diagrams that are included correspond to classes that specialize a superclass and abstract or generalized classes that are extended by one or more subclasses</w:t>
      </w:r>
      <w:bookmarkStart w:id="32" w:name="_GoBack"/>
      <w:bookmarkEnd w:id="32"/>
      <w:r>
        <w:t>.</w:t>
      </w:r>
      <w:bookmarkEnd w:id="31"/>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3" w:name="_Toc398719453"/>
      <w:bookmarkEnd w:id="33"/>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E84F4B" w:rsidRPr="00EA0ACF">
        <w:t xml:space="preserve">Table </w:t>
      </w:r>
      <w:r w:rsidR="00E84F4B">
        <w:rPr>
          <w:noProof/>
        </w:rPr>
        <w:t>1</w:t>
      </w:r>
      <w:r w:rsidR="00E84F4B">
        <w:noBreakHyphen/>
      </w:r>
      <w:r w:rsidR="00E84F4B">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4" w:name="_Ref413693211"/>
      <w:bookmarkStart w:id="35"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E84F4B">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E84F4B">
        <w:rPr>
          <w:noProof/>
          <w:color w:val="auto"/>
          <w:sz w:val="24"/>
          <w:szCs w:val="24"/>
        </w:rPr>
        <w:t>1</w:t>
      </w:r>
      <w:r>
        <w:rPr>
          <w:color w:val="auto"/>
          <w:sz w:val="24"/>
          <w:szCs w:val="24"/>
        </w:rPr>
        <w:fldChar w:fldCharType="end"/>
      </w:r>
      <w:bookmarkEnd w:id="34"/>
      <w:r>
        <w:rPr>
          <w:color w:val="auto"/>
          <w:sz w:val="24"/>
          <w:szCs w:val="24"/>
        </w:rPr>
        <w:t>.</w:t>
      </w:r>
      <w:bookmarkEnd w:id="35"/>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6" w:name="_Ref413676059"/>
      <w:r>
        <w:t>Color Coding</w:t>
      </w:r>
      <w:bookmarkEnd w:id="36"/>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E84F4B" w:rsidRPr="00853898">
        <w:t xml:space="preserve">Figure </w:t>
      </w:r>
      <w:r w:rsidR="00E84F4B">
        <w:rPr>
          <w:noProof/>
        </w:rPr>
        <w:t>1</w:t>
      </w:r>
      <w:r w:rsidR="00E84F4B" w:rsidRPr="00853898">
        <w:noBreakHyphen/>
      </w:r>
      <w:r w:rsidR="00E84F4B">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7" w:name="_Ref413693162"/>
      <w:bookmarkStart w:id="38"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E84F4B">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E84F4B">
        <w:rPr>
          <w:noProof/>
          <w:color w:val="auto"/>
          <w:sz w:val="24"/>
          <w:szCs w:val="24"/>
        </w:rPr>
        <w:t>2</w:t>
      </w:r>
      <w:r w:rsidRPr="00853898">
        <w:rPr>
          <w:color w:val="auto"/>
          <w:sz w:val="24"/>
          <w:szCs w:val="24"/>
        </w:rPr>
        <w:fldChar w:fldCharType="end"/>
      </w:r>
      <w:bookmarkEnd w:id="37"/>
      <w:r w:rsidRPr="00853898">
        <w:rPr>
          <w:b w:val="0"/>
          <w:color w:val="auto"/>
          <w:sz w:val="24"/>
          <w:szCs w:val="24"/>
        </w:rPr>
        <w:t xml:space="preserve">. </w:t>
      </w:r>
      <w:bookmarkEnd w:id="38"/>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9" w:name="_Ref391367621"/>
      <w:bookmarkStart w:id="40" w:name="_Ref389860108"/>
      <w:bookmarkStart w:id="41" w:name="_Toc419122193"/>
      <w:bookmarkEnd w:id="39"/>
      <w:bookmarkEnd w:id="40"/>
      <w:r>
        <w:lastRenderedPageBreak/>
        <w:t>Property Table Notation</w:t>
      </w:r>
      <w:bookmarkEnd w:id="41"/>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E84F4B">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2" w:name="_Toc419122194"/>
      <w:r>
        <w:t>Property and Class Descriptions</w:t>
      </w:r>
      <w:bookmarkEnd w:id="42"/>
    </w:p>
    <w:p w14:paraId="0547F1EB" w14:textId="77777777" w:rsidR="00A67651" w:rsidRDefault="00A67651" w:rsidP="006C7D7E">
      <w:pPr>
        <w:spacing w:after="240"/>
        <w:rPr>
          <w:rFonts w:eastAsiaTheme="minorHAnsi"/>
        </w:rPr>
      </w:pPr>
      <w:bookmarkStart w:id="43" w:name="_Toc412205415"/>
      <w:bookmarkEnd w:id="43"/>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4" w:name="_Ref395082039"/>
      <w:bookmarkStart w:id="45" w:name="_Ref412984629"/>
      <w:bookmarkStart w:id="46" w:name="_Toc419122195"/>
      <w:bookmarkEnd w:id="44"/>
      <w:r>
        <w:t>Background Information</w:t>
      </w:r>
      <w:bookmarkEnd w:id="45"/>
      <w:bookmarkEnd w:id="46"/>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E84F4B">
        <w:t>3</w:t>
      </w:r>
      <w:r w:rsidR="00EA0ACF">
        <w:fldChar w:fldCharType="end"/>
      </w:r>
      <w:r>
        <w:t xml:space="preserve">. </w:t>
      </w:r>
    </w:p>
    <w:p w14:paraId="2B38A3EC" w14:textId="17FF5F84" w:rsidR="00592BBC" w:rsidRPr="00592BBC" w:rsidRDefault="00592BBC" w:rsidP="00592BBC">
      <w:pPr>
        <w:pStyle w:val="Heading2"/>
      </w:pPr>
      <w:bookmarkStart w:id="47" w:name="_Toc419122196"/>
      <w:r w:rsidRPr="00592BBC">
        <w:t>Course of Action-Related Component Data Models</w:t>
      </w:r>
      <w:bookmarkEnd w:id="47"/>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E84F4B">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E84F4B" w:rsidRPr="00853898">
        <w:t xml:space="preserve">Figure </w:t>
      </w:r>
      <w:r w:rsidR="00E84F4B">
        <w:rPr>
          <w:noProof/>
        </w:rPr>
        <w:t>2</w:t>
      </w:r>
      <w:r w:rsidR="00E84F4B" w:rsidRPr="00853898">
        <w:noBreakHyphen/>
      </w:r>
      <w:r w:rsidR="00E84F4B">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E84F4B">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8" w:name="_Ref413760558"/>
      <w:bookmarkStart w:id="49"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E84F4B">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E84F4B">
        <w:rPr>
          <w:noProof/>
          <w:color w:val="auto"/>
          <w:sz w:val="24"/>
          <w:szCs w:val="24"/>
        </w:rPr>
        <w:t>1</w:t>
      </w:r>
      <w:r w:rsidRPr="00853898">
        <w:rPr>
          <w:color w:val="auto"/>
          <w:sz w:val="24"/>
          <w:szCs w:val="24"/>
        </w:rPr>
        <w:fldChar w:fldCharType="end"/>
      </w:r>
      <w:bookmarkEnd w:id="48"/>
      <w:r w:rsidRPr="00853898">
        <w:rPr>
          <w:b w:val="0"/>
          <w:color w:val="auto"/>
          <w:sz w:val="24"/>
          <w:szCs w:val="24"/>
        </w:rPr>
        <w:t xml:space="preserve">. </w:t>
      </w:r>
      <w:bookmarkEnd w:id="49"/>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4BED017F" w:rsidR="00A67651" w:rsidRDefault="00A67651" w:rsidP="00EA0ACF">
      <w:pPr>
        <w:spacing w:after="240"/>
        <w:ind w:left="720"/>
      </w:pPr>
      <w:r>
        <w:t>A STIX Observable (as defined with the CybOX Language</w:t>
      </w:r>
      <w:r w:rsidR="00F169AD">
        <w:rPr>
          <w:rStyle w:val="FootnoteReference"/>
        </w:rPr>
        <w:footnoteReference w:id="4"/>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rPr>
          <w:b/>
          <w:bCs/>
        </w:rPr>
        <w:sectPr w:rsidR="00592BBC" w:rsidSect="00AF47B4">
          <w:pgSz w:w="12240" w:h="15840"/>
          <w:pgMar w:top="1440" w:right="1627" w:bottom="1440" w:left="1800" w:header="720" w:footer="720" w:gutter="0"/>
          <w:cols w:space="720"/>
          <w:docGrid w:linePitch="360"/>
        </w:sectPr>
        <w:pPrChange w:id="50" w:author="Barnum, Sean D." w:date="2015-03-12T13:08:00Z">
          <w:pPr>
            <w:pStyle w:val="Heading1"/>
            <w:spacing w:after="240"/>
          </w:pPr>
        </w:pPrChange>
      </w:pPr>
      <w:bookmarkStart w:id="51" w:name="_Ref390076669"/>
      <w:bookmarkStart w:id="52" w:name="_Ref391372260"/>
      <w:bookmarkStart w:id="53" w:name="_Ref396987963"/>
      <w:bookmarkStart w:id="54" w:name="_Toc401131330"/>
      <w:bookmarkEnd w:id="51"/>
      <w:bookmarkEnd w:id="52"/>
      <w:bookmarkEnd w:id="53"/>
      <w:bookmarkEnd w:id="54"/>
    </w:p>
    <w:p w14:paraId="0383AA20" w14:textId="0EF58426" w:rsidR="00592BBC" w:rsidRDefault="00592BBC" w:rsidP="00592BBC">
      <w:pPr>
        <w:pStyle w:val="Heading1"/>
      </w:pPr>
      <w:bookmarkStart w:id="55" w:name="_Ref412991810"/>
      <w:bookmarkStart w:id="56" w:name="_Ref412991918"/>
      <w:bookmarkStart w:id="57" w:name="_Toc419122197"/>
      <w:r w:rsidRPr="00592BBC">
        <w:lastRenderedPageBreak/>
        <w:t>STIX Course of Action Data Model</w:t>
      </w:r>
      <w:bookmarkEnd w:id="55"/>
      <w:bookmarkEnd w:id="56"/>
      <w:bookmarkEnd w:id="57"/>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E84F4B" w:rsidRPr="00853898">
        <w:t xml:space="preserve">Figure </w:t>
      </w:r>
      <w:r w:rsidR="00E84F4B">
        <w:rPr>
          <w:noProof/>
        </w:rPr>
        <w:t>3</w:t>
      </w:r>
      <w:r w:rsidR="00E84F4B" w:rsidRPr="00853898">
        <w:noBreakHyphen/>
      </w:r>
      <w:r w:rsidR="00E84F4B">
        <w:rPr>
          <w:noProof/>
        </w:rPr>
        <w:t>1</w:t>
      </w:r>
      <w:r w:rsidR="00320A7B">
        <w:fldChar w:fldCharType="end"/>
      </w:r>
      <w:r w:rsidR="00A67651">
        <w:t>.</w:t>
      </w:r>
    </w:p>
    <w:p w14:paraId="4CBC6581" w14:textId="77777777" w:rsidR="00853898" w:rsidRDefault="00A67651" w:rsidP="00853898">
      <w:pPr>
        <w:pStyle w:val="Caption"/>
        <w:keepNext/>
        <w:jc w:val="center"/>
      </w:pPr>
      <w:bookmarkStart w:id="58" w:name="_Ref394447695"/>
      <w:r>
        <w:rPr>
          <w:noProof/>
          <w:color w:val="auto"/>
          <w:sz w:val="24"/>
          <w:szCs w:val="24"/>
        </w:rPr>
        <w:drawing>
          <wp:inline distT="0" distB="0" distL="0" distR="0" wp14:anchorId="4EBF0C37" wp14:editId="1B2576E4">
            <wp:extent cx="5334000" cy="3198738"/>
            <wp:effectExtent l="0" t="0" r="0" b="190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417225" cy="3248647"/>
                    </a:xfrm>
                    <a:prstGeom prst="rect">
                      <a:avLst/>
                    </a:prstGeom>
                    <a:noFill/>
                    <a:ln>
                      <a:noFill/>
                    </a:ln>
                  </pic:spPr>
                </pic:pic>
              </a:graphicData>
            </a:graphic>
          </wp:inline>
        </w:drawing>
      </w:r>
      <w:bookmarkEnd w:id="58"/>
    </w:p>
    <w:p w14:paraId="7E4C2DD2" w14:textId="50DD2DD5" w:rsidR="00A67651" w:rsidRPr="00853898" w:rsidRDefault="00853898" w:rsidP="00423BEE">
      <w:pPr>
        <w:pStyle w:val="Caption"/>
        <w:spacing w:after="240"/>
        <w:jc w:val="center"/>
        <w:rPr>
          <w:b w:val="0"/>
          <w:color w:val="auto"/>
          <w:sz w:val="24"/>
          <w:szCs w:val="24"/>
        </w:rPr>
      </w:pPr>
      <w:bookmarkStart w:id="59"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E84F4B">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E84F4B">
        <w:rPr>
          <w:noProof/>
          <w:color w:val="auto"/>
          <w:sz w:val="24"/>
          <w:szCs w:val="24"/>
        </w:rPr>
        <w:t>1</w:t>
      </w:r>
      <w:r w:rsidRPr="00853898">
        <w:rPr>
          <w:color w:val="auto"/>
          <w:sz w:val="24"/>
          <w:szCs w:val="24"/>
        </w:rPr>
        <w:fldChar w:fldCharType="end"/>
      </w:r>
      <w:bookmarkEnd w:id="59"/>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E84F4B" w:rsidRPr="00853898">
        <w:t xml:space="preserve">Figure </w:t>
      </w:r>
      <w:r w:rsidR="00E84F4B">
        <w:rPr>
          <w:noProof/>
        </w:rPr>
        <w:t>3</w:t>
      </w:r>
      <w:r w:rsidR="00E84F4B" w:rsidRPr="00853898">
        <w:noBreakHyphen/>
      </w:r>
      <w:r w:rsidR="00E84F4B">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E84F4B" w:rsidRPr="00EA0ACF">
        <w:t xml:space="preserve">Table </w:t>
      </w:r>
      <w:r w:rsidR="00E84F4B">
        <w:rPr>
          <w:noProof/>
        </w:rPr>
        <w:t>3</w:t>
      </w:r>
      <w:r w:rsidR="00E84F4B">
        <w:noBreakHyphen/>
      </w:r>
      <w:r w:rsidR="00E84F4B">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E84F4B">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E84F4B">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1935E14A" w14:textId="77777777" w:rsidR="00CB73DC" w:rsidRDefault="00CB73DC" w:rsidP="00EA0ACF">
      <w:pPr>
        <w:spacing w:after="240"/>
      </w:pP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60" w:name="_Ref412992263"/>
      <w:bookmarkStart w:id="61" w:name="_Ref412992257"/>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E84F4B">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E84F4B">
        <w:rPr>
          <w:noProof/>
          <w:color w:val="auto"/>
          <w:sz w:val="24"/>
          <w:szCs w:val="24"/>
        </w:rPr>
        <w:t>1</w:t>
      </w:r>
      <w:r w:rsidR="002E6184">
        <w:rPr>
          <w:color w:val="auto"/>
          <w:sz w:val="24"/>
          <w:szCs w:val="24"/>
        </w:rPr>
        <w:fldChar w:fldCharType="end"/>
      </w:r>
      <w:bookmarkEnd w:id="60"/>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lastRenderedPageBreak/>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 xml:space="preserve">related attributes, and a </w:t>
            </w:r>
            <w:r w:rsidRPr="00902F62">
              <w:rPr>
                <w:rFonts w:ascii="Calibri" w:hAnsi="Calibri"/>
                <w:color w:val="000000"/>
                <w:sz w:val="22"/>
                <w:szCs w:val="22"/>
              </w:rPr>
              <w:lastRenderedPageBreak/>
              <w:t>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lastRenderedPageBreak/>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2" w:name="_Toc401131331"/>
      <w:bookmarkStart w:id="63" w:name="_Ref413679852"/>
      <w:bookmarkStart w:id="64" w:name="_Toc419122198"/>
      <w:bookmarkEnd w:id="62"/>
      <w:proofErr w:type="spellStart"/>
      <w:r w:rsidRPr="003A6DE0">
        <w:t>CourseOfActionVersionType</w:t>
      </w:r>
      <w:proofErr w:type="spellEnd"/>
      <w:r w:rsidRPr="003A6DE0">
        <w:t xml:space="preserve"> Enumeration</w:t>
      </w:r>
      <w:bookmarkEnd w:id="63"/>
      <w:bookmarkEnd w:id="64"/>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E84F4B" w:rsidRPr="00EA0ACF">
        <w:t xml:space="preserve">Table </w:t>
      </w:r>
      <w:r w:rsidR="00E84F4B">
        <w:rPr>
          <w:noProof/>
        </w:rPr>
        <w:t>3</w:t>
      </w:r>
      <w:r w:rsidR="00E84F4B">
        <w:noBreakHyphen/>
      </w:r>
      <w:r w:rsidR="00E84F4B">
        <w:rPr>
          <w:noProof/>
        </w:rPr>
        <w:t>2</w:t>
      </w:r>
      <w:r w:rsidR="00967C53">
        <w:fldChar w:fldCharType="end"/>
      </w:r>
      <w:r>
        <w:t>.</w:t>
      </w:r>
    </w:p>
    <w:p w14:paraId="756BBA27" w14:textId="03285BAF" w:rsidR="00A67651" w:rsidRPr="00EA0ACF" w:rsidRDefault="00EA0ACF" w:rsidP="00423BEE">
      <w:pPr>
        <w:pStyle w:val="Caption"/>
        <w:spacing w:after="120"/>
        <w:jc w:val="center"/>
        <w:rPr>
          <w:b w:val="0"/>
          <w:color w:val="auto"/>
          <w:sz w:val="24"/>
          <w:szCs w:val="24"/>
        </w:rPr>
      </w:pPr>
      <w:bookmarkStart w:id="65" w:name="_Ref413704140"/>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E84F4B">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E84F4B">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Values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6" w:name="_Toc419122199"/>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19122200"/>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lastRenderedPageBreak/>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E84F4B">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E84F4B">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1B36190B"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E84F4B" w:rsidRPr="002E6184">
        <w:t xml:space="preserve">Figure </w:t>
      </w:r>
      <w:r w:rsidR="00E84F4B">
        <w:rPr>
          <w:noProof/>
        </w:rPr>
        <w:t>3</w:t>
      </w:r>
      <w:r w:rsidR="00E84F4B">
        <w:noBreakHyphen/>
      </w:r>
      <w:r w:rsidR="00E84F4B">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E84F4B" w:rsidRPr="002E6184">
        <w:t xml:space="preserve">Table </w:t>
      </w:r>
      <w:r w:rsidR="00E84F4B">
        <w:rPr>
          <w:noProof/>
        </w:rPr>
        <w:t>3</w:t>
      </w:r>
      <w:r w:rsidR="00E84F4B" w:rsidRPr="002E6184">
        <w:noBreakHyphen/>
      </w:r>
      <w:r w:rsidR="00E84F4B">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E84F4B">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E84F4B">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19122201"/>
      <w:bookmarkEnd w:id="71"/>
      <w:proofErr w:type="spellStart"/>
      <w:r w:rsidRPr="003A6DE0">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E84F4B" w:rsidRPr="00053762">
        <w:t xml:space="preserve">Figure </w:t>
      </w:r>
      <w:r w:rsidR="00E84F4B">
        <w:rPr>
          <w:noProof/>
        </w:rPr>
        <w:t>3</w:t>
      </w:r>
      <w:r w:rsidR="00E84F4B">
        <w:noBreakHyphen/>
      </w:r>
      <w:r w:rsidR="00E84F4B">
        <w:rPr>
          <w:noProof/>
        </w:rPr>
        <w:t>3</w:t>
      </w:r>
      <w:r w:rsidR="002F0C70">
        <w:fldChar w:fldCharType="end"/>
      </w:r>
      <w:r w:rsidR="00053762">
        <w:t>.</w:t>
      </w:r>
    </w:p>
    <w:p w14:paraId="731BEA99" w14:textId="4691862C" w:rsidR="00A67651" w:rsidRDefault="00A67651" w:rsidP="00053762"/>
    <w:p w14:paraId="48B84B9B" w14:textId="7ADEA54D" w:rsidR="00053762" w:rsidRDefault="00053762" w:rsidP="00A67651">
      <w:pPr>
        <w:jc w:val="center"/>
      </w:pPr>
      <w:r w:rsidRPr="00053762">
        <w:rPr>
          <w:noProof/>
        </w:rPr>
        <w:lastRenderedPageBreak/>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E84F4B">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E84F4B">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8DE8B8" w:rsidR="00053762" w:rsidRDefault="00053762" w:rsidP="007C5D9C">
      <w:pPr>
        <w:spacing w:after="240"/>
      </w:pPr>
      <w:r>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E84F4B" w:rsidRPr="00AF50DD">
        <w:t xml:space="preserve">Table </w:t>
      </w:r>
      <w:r w:rsidR="00E84F4B">
        <w:rPr>
          <w:noProof/>
        </w:rPr>
        <w:t>3</w:t>
      </w:r>
      <w:r w:rsidR="00E84F4B">
        <w:noBreakHyphen/>
      </w:r>
      <w:r w:rsidR="00E84F4B">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E84F4B" w:rsidRPr="00053762">
        <w:t xml:space="preserve">Figure </w:t>
      </w:r>
      <w:r w:rsidR="00E84F4B">
        <w:rPr>
          <w:noProof/>
        </w:rPr>
        <w:t>3</w:t>
      </w:r>
      <w:r w:rsidR="00E84F4B">
        <w:noBreakHyphen/>
      </w:r>
      <w:r w:rsidR="00E84F4B">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E84F4B">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E84F4B">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B30CA79" w14:textId="77777777" w:rsidR="00B21503" w:rsidRDefault="00B21503" w:rsidP="00B21503">
      <w:pPr>
        <w:pStyle w:val="Heading1"/>
        <w:numPr>
          <w:ilvl w:val="0"/>
          <w:numId w:val="0"/>
        </w:numPr>
        <w:tabs>
          <w:tab w:val="left" w:pos="720"/>
        </w:tabs>
        <w:rPr>
          <w:kern w:val="36"/>
        </w:rPr>
        <w:sectPr w:rsidR="00B21503" w:rsidSect="004D2560">
          <w:pgSz w:w="12240" w:h="15840"/>
          <w:pgMar w:top="1440" w:right="1800" w:bottom="1440" w:left="1627" w:header="720" w:footer="720" w:gutter="0"/>
          <w:cols w:space="720"/>
          <w:docGrid w:linePitch="360"/>
        </w:sectPr>
      </w:pPr>
      <w:bookmarkStart w:id="77" w:name="_Toc389570600"/>
      <w:bookmarkStart w:id="78" w:name="_Toc389581070"/>
      <w:bookmarkStart w:id="79" w:name="_Toc391386568"/>
      <w:bookmarkEnd w:id="77"/>
      <w:bookmarkEnd w:id="78"/>
      <w:bookmarkEnd w:id="79"/>
    </w:p>
    <w:p w14:paraId="525300B4" w14:textId="77777777" w:rsidR="00A67651" w:rsidRDefault="00A67651" w:rsidP="00843B16">
      <w:pPr>
        <w:pStyle w:val="Heading1"/>
        <w:numPr>
          <w:ilvl w:val="0"/>
          <w:numId w:val="0"/>
        </w:numPr>
      </w:pPr>
      <w:bookmarkStart w:id="80" w:name="_Toc401131336"/>
      <w:bookmarkStart w:id="81" w:name="_Toc419122202"/>
      <w:r>
        <w:lastRenderedPageBreak/>
        <w:t>References</w:t>
      </w:r>
      <w:bookmarkEnd w:id="80"/>
      <w:bookmarkEnd w:id="81"/>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33"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B21503" w:rsidP="00A67651">
      <w:pPr>
        <w:keepNext/>
        <w:ind w:left="720" w:firstLine="720"/>
      </w:pPr>
      <w:hyperlink r:id="rId34"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5"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6" w:history="1">
        <w:r w:rsidRPr="00816181">
          <w:rPr>
            <w:rStyle w:val="Hyperlink"/>
          </w:rPr>
          <w:t>http://github.com/STIXProject/specifications</w:t>
        </w:r>
      </w:hyperlink>
    </w:p>
    <w:p w14:paraId="1A25B6E5" w14:textId="77777777" w:rsidR="003D3427" w:rsidRDefault="003D3427"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B21503" w:rsidP="0009100E">
      <w:pPr>
        <w:pStyle w:val="FootnoteText"/>
        <w:ind w:left="720" w:firstLine="720"/>
      </w:pPr>
      <w:hyperlink r:id="rId37"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B21503" w:rsidP="00A02E29">
      <w:pPr>
        <w:autoSpaceDE w:val="0"/>
        <w:autoSpaceDN w:val="0"/>
        <w:ind w:left="720" w:firstLine="720"/>
        <w:rPr>
          <w:rFonts w:ascii="Calibri" w:hAnsi="Calibri" w:cs="Times New Roman"/>
          <w:sz w:val="22"/>
          <w:szCs w:val="22"/>
        </w:rPr>
      </w:pPr>
      <w:hyperlink r:id="rId38"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B29A5" w14:textId="77777777" w:rsidR="00190E8C" w:rsidRDefault="00190E8C" w:rsidP="00126F8F">
      <w:r>
        <w:separator/>
      </w:r>
    </w:p>
  </w:endnote>
  <w:endnote w:type="continuationSeparator" w:id="0">
    <w:p w14:paraId="009F050C" w14:textId="77777777" w:rsidR="00190E8C" w:rsidRDefault="00190E8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Content>
      <w:p w14:paraId="45AC9BF2" w14:textId="77777777" w:rsidR="00B21503" w:rsidRDefault="00B21503" w:rsidP="00126F8F">
        <w:pPr>
          <w:pStyle w:val="Footer"/>
        </w:pPr>
      </w:p>
      <w:p w14:paraId="09E77A3E" w14:textId="77777777" w:rsidR="00B21503" w:rsidRDefault="00B21503" w:rsidP="00167573">
        <w:pPr>
          <w:pStyle w:val="Footer"/>
          <w:jc w:val="right"/>
        </w:pPr>
        <w:r>
          <w:fldChar w:fldCharType="begin"/>
        </w:r>
        <w:r>
          <w:instrText xml:space="preserve"> PAGE   \* MERGEFORMAT </w:instrText>
        </w:r>
        <w:r>
          <w:fldChar w:fldCharType="separate"/>
        </w:r>
        <w:r w:rsidR="00E84F4B">
          <w:rPr>
            <w:noProof/>
          </w:rPr>
          <w:t>15</w:t>
        </w:r>
        <w:r>
          <w:rPr>
            <w:noProof/>
          </w:rPr>
          <w:fldChar w:fldCharType="end"/>
        </w:r>
      </w:p>
    </w:sdtContent>
  </w:sdt>
  <w:p w14:paraId="10496282" w14:textId="7F96EF2E" w:rsidR="00B21503" w:rsidRPr="00406CE9" w:rsidRDefault="00B21503"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F8A53" w14:textId="77777777" w:rsidR="00190E8C" w:rsidRDefault="00190E8C" w:rsidP="00126F8F">
      <w:r>
        <w:separator/>
      </w:r>
    </w:p>
  </w:footnote>
  <w:footnote w:type="continuationSeparator" w:id="0">
    <w:p w14:paraId="70A3C100" w14:textId="77777777" w:rsidR="00190E8C" w:rsidRDefault="00190E8C" w:rsidP="00126F8F">
      <w:r>
        <w:continuationSeparator/>
      </w:r>
    </w:p>
  </w:footnote>
  <w:footnote w:id="1">
    <w:p w14:paraId="6ABF3FA0" w14:textId="7AB25332" w:rsidR="00B21503" w:rsidRDefault="00B21503" w:rsidP="00A67651">
      <w:pPr>
        <w:pStyle w:val="FootnoteText"/>
        <w:rPr>
          <w:rFonts w:ascii="Calibri" w:eastAsiaTheme="minorHAnsi" w:hAnsi="Calibri"/>
        </w:rPr>
      </w:pPr>
      <w:r>
        <w:rPr>
          <w:rStyle w:val="FootnoteReference"/>
        </w:rPr>
        <w:footnoteRef/>
      </w:r>
      <w:r>
        <w:t xml:space="preserve"> </w:t>
      </w:r>
      <w:r>
        <w:rPr>
          <w:sz w:val="22"/>
          <w:szCs w:val="22"/>
        </w:rPr>
        <w:t>For detailed information see [TOU].</w:t>
      </w:r>
      <w:r>
        <w:t xml:space="preserve"> </w:t>
      </w:r>
    </w:p>
  </w:footnote>
  <w:footnote w:id="2">
    <w:p w14:paraId="71CA958D" w14:textId="0CDC5638" w:rsidR="00B21503" w:rsidRDefault="00B21503" w:rsidP="00A67651">
      <w:pPr>
        <w:pStyle w:val="FootnoteText"/>
      </w:pPr>
      <w:r>
        <w:rPr>
          <w:rStyle w:val="FootnoteReference"/>
        </w:rPr>
        <w:footnoteRef/>
      </w:r>
      <w:r>
        <w:t xml:space="preserve"> </w:t>
      </w:r>
      <w:r>
        <w:rPr>
          <w:sz w:val="22"/>
          <w:szCs w:val="22"/>
        </w:rPr>
        <w:t>For more information about the STIX Language, please visit [STIX].</w:t>
      </w:r>
      <w:r>
        <w:t xml:space="preserve"> </w:t>
      </w:r>
    </w:p>
  </w:footnote>
  <w:footnote w:id="3">
    <w:p w14:paraId="4768495A" w14:textId="1D7BE566" w:rsidR="00B21503" w:rsidRDefault="00B21503">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F6574D">
        <w:rPr>
          <w:sz w:val="20"/>
        </w:rPr>
        <w:t>.</w:t>
      </w:r>
    </w:p>
  </w:footnote>
  <w:footnote w:id="4">
    <w:p w14:paraId="5AB0CE73" w14:textId="05FFFA02" w:rsidR="00B21503" w:rsidRDefault="00B21503" w:rsidP="00A67651">
      <w:pPr>
        <w:pStyle w:val="FootnoteText"/>
      </w:pPr>
      <w:r>
        <w:rPr>
          <w:rStyle w:val="FootnoteReference"/>
        </w:rPr>
        <w:footnoteRef/>
      </w:r>
      <w:r>
        <w:t xml:space="preserve"> </w:t>
      </w:r>
      <w:r>
        <w:rPr>
          <w:sz w:val="20"/>
        </w:rPr>
        <w:t>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B21503" w:rsidRDefault="00B21503" w:rsidP="00945169">
    <w:pPr>
      <w:pStyle w:val="Header"/>
      <w:tabs>
        <w:tab w:val="left" w:pos="2700"/>
      </w:tabs>
      <w:jc w:val="right"/>
    </w:pPr>
    <w:r>
      <w:tab/>
    </w:r>
    <w:r>
      <w:tab/>
      <w:t>STIX™ 1.1.1: COURSE OF ACTION 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E8C"/>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07"/>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8E4"/>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E80"/>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16"/>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1503"/>
    <w:rsid w:val="00B224DB"/>
    <w:rsid w:val="00B2267A"/>
    <w:rsid w:val="00B22B1B"/>
    <w:rsid w:val="00B23F97"/>
    <w:rsid w:val="00B248F2"/>
    <w:rsid w:val="00B24EFD"/>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BA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2F7"/>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4F4B"/>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9AD"/>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4D"/>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228"/>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21CA2EC0-B763-4EE0-806C-653D36D7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ietf.org/rfc/rfc2119.txt"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s://stix.mitre.org/language/version4.1/xxx_schema.xsd" TargetMode="External"/><Relationship Id="rId38" Type="http://schemas.openxmlformats.org/officeDocument/2006/relationships/hyperlink" Target="http://stix.mitre.org/about/termsofuse.html" TargetMode="Externa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documents/XXXX.pdf"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github.com/STIXProject/specifications"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3.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4.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BF5A2423-081A-4CC9-84D7-174CB42A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18</Pages>
  <Words>4647</Words>
  <Characters>26488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STIX Course of Action Specification Document v1.1.1</vt:lpstr>
    </vt:vector>
  </TitlesOfParts>
  <Manager>Chuck Bonneau</Manager>
  <Company>The MITRE Corporation</Company>
  <LinksUpToDate>false</LinksUpToDate>
  <CharactersWithSpaces>31073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Course of Action Specification Document v1.1.1</dc:title>
  <dc:subject/>
  <dc:creator>Desiree Beck, Rich Piazza</dc:creator>
  <cp:keywords>STIX, campaign</cp:keywords>
  <dc:description/>
  <cp:lastModifiedBy>Piazza, Rich</cp:lastModifiedBy>
  <cp:revision>77</cp:revision>
  <cp:lastPrinted>2015-05-11T20:14:00Z</cp:lastPrinted>
  <dcterms:created xsi:type="dcterms:W3CDTF">2015-03-10T18:57:00Z</dcterms:created>
  <dcterms:modified xsi:type="dcterms:W3CDTF">2015-05-11T20:15:00Z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