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DC119C3" w:rsidR="00843252" w:rsidRPr="00430A40" w:rsidRDefault="00CF46F1" w:rsidP="00843252">
      <w:pPr>
        <w:jc w:val="center"/>
        <w:rPr>
          <w:rStyle w:val="BookTitle"/>
          <w:b w:val="0"/>
        </w:rPr>
      </w:pPr>
      <w:r>
        <w:rPr>
          <w:rStyle w:val="BookTitle"/>
          <w:b w:val="0"/>
        </w:rPr>
        <w:t>June</w:t>
      </w:r>
      <w:r w:rsidR="00615A3A">
        <w:rPr>
          <w:rStyle w:val="BookTitle"/>
          <w:b w:val="0"/>
        </w:rPr>
        <w:t xml:space="preserve">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013563">
              <w:rPr>
                <w:webHidden/>
              </w:rPr>
              <w:t>1</w:t>
            </w:r>
            <w:r w:rsidR="007E0294">
              <w:rPr>
                <w:webHidden/>
              </w:rPr>
              <w:fldChar w:fldCharType="end"/>
            </w:r>
          </w:hyperlink>
        </w:p>
        <w:p w14:paraId="41380A5D" w14:textId="77777777" w:rsidR="007E0294" w:rsidRDefault="00666C3A">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013563">
              <w:rPr>
                <w:noProof/>
                <w:webHidden/>
              </w:rPr>
              <w:t>1</w:t>
            </w:r>
            <w:r w:rsidR="007E0294">
              <w:rPr>
                <w:noProof/>
                <w:webHidden/>
              </w:rPr>
              <w:fldChar w:fldCharType="end"/>
            </w:r>
          </w:hyperlink>
        </w:p>
        <w:p w14:paraId="1DF27BD0" w14:textId="77777777" w:rsidR="007E0294" w:rsidRDefault="00666C3A">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7A848EDC" w14:textId="77777777" w:rsidR="007E0294" w:rsidRDefault="00666C3A">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A6985E2" w14:textId="77777777" w:rsidR="007E0294" w:rsidRDefault="00666C3A">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D420199" w14:textId="77777777" w:rsidR="007E0294" w:rsidRDefault="00666C3A">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784423E5" w14:textId="77777777" w:rsidR="007E0294" w:rsidRDefault="00666C3A">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6921F5CF" w14:textId="77777777" w:rsidR="007E0294" w:rsidRDefault="00666C3A">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013563">
              <w:rPr>
                <w:noProof/>
                <w:webHidden/>
              </w:rPr>
              <w:t>4</w:t>
            </w:r>
            <w:r w:rsidR="007E0294">
              <w:rPr>
                <w:noProof/>
                <w:webHidden/>
              </w:rPr>
              <w:fldChar w:fldCharType="end"/>
            </w:r>
          </w:hyperlink>
        </w:p>
        <w:p w14:paraId="56DFFC83" w14:textId="77777777" w:rsidR="007E0294" w:rsidRDefault="00666C3A">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013563">
              <w:rPr>
                <w:noProof/>
                <w:webHidden/>
              </w:rPr>
              <w:t>5</w:t>
            </w:r>
            <w:r w:rsidR="007E0294">
              <w:rPr>
                <w:noProof/>
                <w:webHidden/>
              </w:rPr>
              <w:fldChar w:fldCharType="end"/>
            </w:r>
          </w:hyperlink>
        </w:p>
        <w:p w14:paraId="69E70029" w14:textId="77777777" w:rsidR="007E0294" w:rsidRDefault="00666C3A">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013563">
              <w:rPr>
                <w:webHidden/>
              </w:rPr>
              <w:t>7</w:t>
            </w:r>
            <w:r w:rsidR="007E0294">
              <w:rPr>
                <w:webHidden/>
              </w:rPr>
              <w:fldChar w:fldCharType="end"/>
            </w:r>
          </w:hyperlink>
        </w:p>
        <w:p w14:paraId="5DFE052D" w14:textId="77777777" w:rsidR="007E0294" w:rsidRDefault="00666C3A">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013563">
              <w:rPr>
                <w:noProof/>
                <w:webHidden/>
              </w:rPr>
              <w:t>7</w:t>
            </w:r>
            <w:r w:rsidR="007E0294">
              <w:rPr>
                <w:noProof/>
                <w:webHidden/>
              </w:rPr>
              <w:fldChar w:fldCharType="end"/>
            </w:r>
          </w:hyperlink>
        </w:p>
        <w:p w14:paraId="751978D8" w14:textId="77777777" w:rsidR="007E0294" w:rsidRDefault="00666C3A">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6D3DED14" w14:textId="77777777" w:rsidR="007E0294" w:rsidRDefault="00666C3A">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7BBD06C8" w14:textId="77777777" w:rsidR="007E0294" w:rsidRDefault="00666C3A">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DBA23DD" w14:textId="77777777" w:rsidR="007E0294" w:rsidRDefault="00666C3A">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08FE9CD8" w14:textId="77777777" w:rsidR="007E0294" w:rsidRDefault="00666C3A">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2AD3CFDB" w14:textId="77777777" w:rsidR="007E0294" w:rsidRDefault="00666C3A">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AD9BFAE" w14:textId="77777777" w:rsidR="007E0294" w:rsidRDefault="00666C3A">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2E9B35C0" w14:textId="77777777" w:rsidR="007E0294" w:rsidRDefault="00666C3A">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1369E1CA" w14:textId="77777777" w:rsidR="007E0294" w:rsidRDefault="00666C3A">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013563">
              <w:rPr>
                <w:webHidden/>
              </w:rPr>
              <w:t>10</w:t>
            </w:r>
            <w:r w:rsidR="007E0294">
              <w:rPr>
                <w:webHidden/>
              </w:rPr>
              <w:fldChar w:fldCharType="end"/>
            </w:r>
          </w:hyperlink>
        </w:p>
        <w:p w14:paraId="6007D075" w14:textId="77777777" w:rsidR="007E0294" w:rsidRDefault="00666C3A">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013563">
              <w:rPr>
                <w:noProof/>
                <w:webHidden/>
              </w:rPr>
              <w:t>13</w:t>
            </w:r>
            <w:r w:rsidR="007E0294">
              <w:rPr>
                <w:noProof/>
                <w:webHidden/>
              </w:rPr>
              <w:fldChar w:fldCharType="end"/>
            </w:r>
          </w:hyperlink>
        </w:p>
        <w:p w14:paraId="26D4FCAF" w14:textId="77777777" w:rsidR="007E0294" w:rsidRDefault="00666C3A">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013563">
              <w:rPr>
                <w:noProof/>
                <w:webHidden/>
              </w:rPr>
              <w:t>14</w:t>
            </w:r>
            <w:r w:rsidR="007E0294">
              <w:rPr>
                <w:noProof/>
                <w:webHidden/>
              </w:rPr>
              <w:fldChar w:fldCharType="end"/>
            </w:r>
          </w:hyperlink>
        </w:p>
        <w:p w14:paraId="53EE99CB" w14:textId="77777777" w:rsidR="007E0294" w:rsidRDefault="00666C3A">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038EE0E2" w14:textId="77777777" w:rsidR="007E0294" w:rsidRDefault="00666C3A">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1B55F34E" w14:textId="77777777" w:rsidR="007E0294" w:rsidRDefault="00666C3A">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4B63A976" w14:textId="77777777" w:rsidR="007E0294" w:rsidRDefault="00666C3A">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013563">
              <w:rPr>
                <w:noProof/>
                <w:webHidden/>
              </w:rPr>
              <w:t>17</w:t>
            </w:r>
            <w:r w:rsidR="007E0294">
              <w:rPr>
                <w:noProof/>
                <w:webHidden/>
              </w:rPr>
              <w:fldChar w:fldCharType="end"/>
            </w:r>
          </w:hyperlink>
        </w:p>
        <w:p w14:paraId="49690190" w14:textId="77777777" w:rsidR="007E0294" w:rsidRDefault="00666C3A">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5C6DC827" w14:textId="77777777" w:rsidR="007E0294" w:rsidRDefault="00666C3A">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7AA46E02" w14:textId="77777777" w:rsidR="007E0294" w:rsidRDefault="00666C3A">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013563">
              <w:rPr>
                <w:noProof/>
                <w:webHidden/>
              </w:rPr>
              <w:t>19</w:t>
            </w:r>
            <w:r w:rsidR="007E0294">
              <w:rPr>
                <w:noProof/>
                <w:webHidden/>
              </w:rPr>
              <w:fldChar w:fldCharType="end"/>
            </w:r>
          </w:hyperlink>
        </w:p>
        <w:p w14:paraId="111D4DDF" w14:textId="77777777" w:rsidR="007E0294" w:rsidRDefault="00666C3A">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013563">
              <w:rPr>
                <w:noProof/>
                <w:webHidden/>
              </w:rPr>
              <w:t>20</w:t>
            </w:r>
            <w:r w:rsidR="007E0294">
              <w:rPr>
                <w:noProof/>
                <w:webHidden/>
              </w:rPr>
              <w:fldChar w:fldCharType="end"/>
            </w:r>
          </w:hyperlink>
        </w:p>
        <w:p w14:paraId="2C412354" w14:textId="77777777" w:rsidR="007E0294" w:rsidRDefault="00666C3A">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013563">
              <w:rPr>
                <w:noProof/>
                <w:webHidden/>
              </w:rPr>
              <w:t>21</w:t>
            </w:r>
            <w:r w:rsidR="007E0294">
              <w:rPr>
                <w:noProof/>
                <w:webHidden/>
              </w:rPr>
              <w:fldChar w:fldCharType="end"/>
            </w:r>
          </w:hyperlink>
        </w:p>
        <w:p w14:paraId="59F513A6" w14:textId="77777777" w:rsidR="007E0294" w:rsidRDefault="00666C3A">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013563">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0063D878"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CF46F1">
        <w:t xml:space="preserve">Report, </w:t>
      </w:r>
      <w:r w:rsidRPr="00FC6DFE">
        <w:t xml:space="preserve">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1356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1356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1356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1356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13563" w:rsidRPr="000C4865">
        <w:t xml:space="preserve">Figure </w:t>
      </w:r>
      <w:r w:rsidR="00013563">
        <w:rPr>
          <w:noProof/>
        </w:rPr>
        <w:t>1</w:t>
      </w:r>
      <w:r w:rsidR="00013563">
        <w:noBreakHyphen/>
      </w:r>
      <w:r w:rsidR="0001356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013563">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13563" w:rsidRPr="00305518">
        <w:t xml:space="preserve">Table </w:t>
      </w:r>
      <w:r w:rsidR="00013563">
        <w:rPr>
          <w:noProof/>
        </w:rPr>
        <w:t>1</w:t>
      </w:r>
      <w:r w:rsidR="00013563">
        <w:noBreakHyphen/>
      </w:r>
      <w:r w:rsidR="00013563">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1356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13563">
        <w:rPr>
          <w:noProof/>
          <w:color w:val="auto"/>
          <w:sz w:val="24"/>
        </w:rPr>
        <w:t>1</w:t>
      </w:r>
      <w:r w:rsidR="008763E3">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19" o:title=""/>
                </v:shape>
                <o:OLEObject Type="Embed" ProgID="PBrush" ShapeID="_x0000_i1025" DrawAspect="Content" ObjectID="_1495434592"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3.9pt;height:13.9pt" o:ole="">
                  <v:imagedata r:id="rId22" o:title=""/>
                </v:shape>
                <o:OLEObject Type="Embed" ProgID="PBrush" ShapeID="_x0000_i1026" DrawAspect="Content" ObjectID="_1495434593"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3.9pt;height:13.9pt" o:ole="">
                  <v:imagedata r:id="rId24" o:title=""/>
                </v:shape>
                <o:OLEObject Type="Embed" ProgID="PBrush" ShapeID="_x0000_i1027" DrawAspect="Content" ObjectID="_1495434594"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738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8.1pt;height:35.55pt" o:ole="">
                  <v:imagedata r:id="rId26" o:title=""/>
                </v:shape>
                <o:OLEObject Type="Embed" ProgID="PBrush" ShapeID="_x0000_i1028" DrawAspect="Content" ObjectID="_1495434595"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10B91DBE" w:rsidR="00E761AA" w:rsidRDefault="00307771" w:rsidP="00E761AA">
      <w:pPr>
        <w:spacing w:after="240"/>
      </w:pPr>
      <w:r>
        <w:t xml:space="preserve">The shapes of the UML diagrams are color coded to indicate the data model associated with a class.  The colors used in the </w:t>
      </w:r>
      <w:r w:rsidR="00666C3A">
        <w:t>Core</w:t>
      </w:r>
      <w:bookmarkStart w:id="50" w:name="_GoBack"/>
      <w:bookmarkEnd w:id="50"/>
      <w:r>
        <w:t xml:space="preserve"> specification are illustrated via exemplars in </w:t>
      </w:r>
      <w:r w:rsidR="00E761AA">
        <w:fldChar w:fldCharType="begin"/>
      </w:r>
      <w:r w:rsidR="00E761AA">
        <w:instrText xml:space="preserve"> REF _Ref397676401 \h </w:instrText>
      </w:r>
      <w:r w:rsidR="00E761AA">
        <w:fldChar w:fldCharType="separate"/>
      </w:r>
      <w:r w:rsidR="00013563" w:rsidRPr="000C4865">
        <w:t xml:space="preserve">Figure </w:t>
      </w:r>
      <w:r w:rsidR="00013563">
        <w:rPr>
          <w:noProof/>
        </w:rPr>
        <w:t>1</w:t>
      </w:r>
      <w:r w:rsidR="00013563">
        <w:noBreakHyphen/>
      </w:r>
      <w:r w:rsidR="0001356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39"/>
      <w:bookmarkEnd w:id="40"/>
      <w:bookmarkEnd w:id="41"/>
      <w:bookmarkEnd w:id="52"/>
      <w:bookmarkEnd w:id="53"/>
      <w:bookmarkEnd w:id="54"/>
    </w:p>
    <w:p w14:paraId="016DE9A3" w14:textId="59896246" w:rsidR="00E761AA" w:rsidRDefault="00E761AA" w:rsidP="00E761AA">
      <w:pPr>
        <w:spacing w:after="240"/>
      </w:pPr>
      <w:bookmarkStart w:id="55" w:name="_Ref389860108"/>
      <w:bookmarkStart w:id="56"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1356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w:t>
      </w:r>
      <w:proofErr w:type="gramStart"/>
      <w:r>
        <w:t>prefixes</w:t>
      </w:r>
      <w:proofErr w:type="gramEnd"/>
      <w:r>
        <w:t xml:space="preserve">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1356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13563">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1356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13563" w:rsidRPr="00CA1E0C">
        <w:t xml:space="preserve">Figure </w:t>
      </w:r>
      <w:r w:rsidR="00013563">
        <w:rPr>
          <w:noProof/>
        </w:rPr>
        <w:t>2</w:t>
      </w:r>
      <w:r w:rsidR="00013563" w:rsidRPr="00CA1E0C">
        <w:noBreakHyphen/>
      </w:r>
      <w:r w:rsidR="0001356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1356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1356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13563">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13563" w:rsidRPr="00F13F78">
        <w:t xml:space="preserve">Figure </w:t>
      </w:r>
      <w:r w:rsidR="00013563">
        <w:rPr>
          <w:noProof/>
        </w:rPr>
        <w:t>3</w:t>
      </w:r>
      <w:r w:rsidR="00013563">
        <w:noBreakHyphen/>
      </w:r>
      <w:r w:rsidR="00013563">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730BA5">
        <w:trPr>
          <w:trHeight w:val="547"/>
        </w:trPr>
        <w:tc>
          <w:tcPr>
            <w:tcW w:w="2245" w:type="dxa"/>
            <w:shd w:val="clear" w:color="auto" w:fill="DDD9C3" w:themeFill="background2" w:themeFillShade="E6"/>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DDD9C3" w:themeFill="background2" w:themeFillShade="E6"/>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168AEF77" w14:textId="77777777" w:rsidR="001A48B9"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p w14:paraId="6B1159D5" w14:textId="77777777" w:rsidR="00730BA5" w:rsidRDefault="00730BA5" w:rsidP="00730BA5">
            <w:pPr>
              <w:rPr>
                <w:rFonts w:ascii="Calibri" w:hAnsi="Calibri"/>
                <w:color w:val="000000"/>
                <w:sz w:val="22"/>
                <w:szCs w:val="22"/>
              </w:rPr>
            </w:pPr>
          </w:p>
          <w:p w14:paraId="3DE9C887" w14:textId="13B023A9" w:rsidR="00730BA5"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lastRenderedPageBreak/>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13563" w:rsidRPr="00C96A2E">
        <w:t xml:space="preserve">Table </w:t>
      </w:r>
      <w:r w:rsidR="00013563">
        <w:rPr>
          <w:noProof/>
        </w:rPr>
        <w:t>3</w:t>
      </w:r>
      <w:r w:rsidR="00013563">
        <w:noBreakHyphen/>
      </w:r>
      <w:r w:rsidR="00013563">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013563" w:rsidRPr="0090553B">
        <w:t xml:space="preserve">Table </w:t>
      </w:r>
      <w:r w:rsidR="00013563">
        <w:rPr>
          <w:noProof/>
        </w:rPr>
        <w:t>3</w:t>
      </w:r>
      <w:r w:rsidR="00013563">
        <w:noBreakHyphen/>
      </w:r>
      <w:r w:rsidR="00013563">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lastRenderedPageBreak/>
              <w:t>Package_Intent</w:t>
            </w:r>
            <w:proofErr w:type="spellEnd"/>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20660212"/>
      <w:proofErr w:type="spellStart"/>
      <w:r>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013563" w:rsidRPr="0090553B">
        <w:t xml:space="preserve">Table </w:t>
      </w:r>
      <w:r w:rsidR="00013563">
        <w:rPr>
          <w:noProof/>
        </w:rPr>
        <w:t>3</w:t>
      </w:r>
      <w:r w:rsidR="00013563">
        <w:noBreakHyphen/>
      </w:r>
      <w:r w:rsidR="00013563">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proofErr w:type="spellStart"/>
      <w:r>
        <w:t>CoursesOfAction</w:t>
      </w:r>
      <w:r w:rsidR="001162DE">
        <w:t>Type</w:t>
      </w:r>
      <w:proofErr w:type="spellEnd"/>
      <w:r>
        <w:t xml:space="preserve"> Class</w:t>
      </w:r>
      <w:bookmarkEnd w:id="118"/>
      <w:bookmarkEnd w:id="119"/>
      <w:bookmarkEnd w:id="120"/>
    </w:p>
    <w:p w14:paraId="34C2C413" w14:textId="133353B3" w:rsidR="004A08A3"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013563" w:rsidRPr="00A40E8E">
        <w:t xml:space="preserve">Table </w:t>
      </w:r>
      <w:r w:rsidR="00013563">
        <w:rPr>
          <w:noProof/>
        </w:rPr>
        <w:t>3</w:t>
      </w:r>
      <w:r w:rsidR="00013563">
        <w:noBreakHyphen/>
      </w:r>
      <w:r w:rsidR="00013563">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proofErr w:type="spellStart"/>
      <w:r>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013563" w:rsidRPr="000B4986">
        <w:t xml:space="preserve">Table </w:t>
      </w:r>
      <w:r w:rsidR="00013563">
        <w:rPr>
          <w:noProof/>
        </w:rPr>
        <w:t>3</w:t>
      </w:r>
      <w:r w:rsidR="00013563">
        <w:noBreakHyphen/>
      </w:r>
      <w:r w:rsidR="00013563">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proofErr w:type="spellStart"/>
      <w:r>
        <w:lastRenderedPageBreak/>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013563" w:rsidRPr="000B4986">
        <w:t xml:space="preserve">Table </w:t>
      </w:r>
      <w:r w:rsidR="00013563">
        <w:rPr>
          <w:noProof/>
        </w:rPr>
        <w:t>3</w:t>
      </w:r>
      <w:r w:rsidR="00013563">
        <w:noBreakHyphen/>
      </w:r>
      <w:r w:rsidR="00013563">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013563" w:rsidRPr="000B4986">
        <w:t xml:space="preserve">Table </w:t>
      </w:r>
      <w:r w:rsidR="00013563">
        <w:rPr>
          <w:noProof/>
        </w:rPr>
        <w:t>3</w:t>
      </w:r>
      <w:r w:rsidR="00013563">
        <w:noBreakHyphen/>
      </w:r>
      <w:r w:rsidR="00013563">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proofErr w:type="spellStart"/>
      <w:r>
        <w:t>TTPsType</w:t>
      </w:r>
      <w:proofErr w:type="spellEnd"/>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013563" w:rsidRPr="000B4986">
        <w:t xml:space="preserve">Table </w:t>
      </w:r>
      <w:r w:rsidR="00013563">
        <w:rPr>
          <w:noProof/>
        </w:rPr>
        <w:t>3</w:t>
      </w:r>
      <w:r w:rsidR="00013563">
        <w:noBreakHyphen/>
      </w:r>
      <w:r w:rsidR="00013563">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13563" w:rsidRPr="00851B02">
        <w:t xml:space="preserve">Figure </w:t>
      </w:r>
      <w:r w:rsidR="00013563">
        <w:rPr>
          <w:noProof/>
        </w:rPr>
        <w:t>3</w:t>
      </w:r>
      <w:r w:rsidR="00013563">
        <w:noBreakHyphen/>
      </w:r>
      <w:r w:rsidR="0001356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13563" w:rsidRPr="000B4986">
        <w:t xml:space="preserve">Table </w:t>
      </w:r>
      <w:r w:rsidR="00013563">
        <w:rPr>
          <w:noProof/>
        </w:rPr>
        <w:t>3</w:t>
      </w:r>
      <w:r w:rsidR="00013563">
        <w:noBreakHyphen/>
      </w:r>
      <w:r w:rsidR="00013563">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Table </w:t>
      </w:r>
      <w:r w:rsidR="00013563" w:rsidRPr="00013563">
        <w:rPr>
          <w:b w:val="0"/>
          <w:noProof/>
          <w:color w:val="auto"/>
          <w:sz w:val="24"/>
          <w:szCs w:val="24"/>
        </w:rPr>
        <w:t>3</w:t>
      </w:r>
      <w:r w:rsidR="00013563" w:rsidRPr="00013563">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Figure </w:t>
      </w:r>
      <w:r w:rsidR="00013563" w:rsidRPr="00013563">
        <w:rPr>
          <w:b w:val="0"/>
          <w:noProof/>
          <w:color w:val="auto"/>
          <w:sz w:val="24"/>
          <w:szCs w:val="24"/>
        </w:rPr>
        <w:t>3</w:t>
      </w:r>
      <w:r w:rsidR="00013563" w:rsidRPr="0001356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proofErr w:type="spellStart"/>
      <w:r>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66C3A"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5"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666C3A" w:rsidP="00817014">
      <w:pPr>
        <w:autoSpaceDE w:val="0"/>
        <w:autoSpaceDN w:val="0"/>
        <w:ind w:left="720" w:firstLine="720"/>
      </w:pPr>
      <w:hyperlink r:id="rId47"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74A09" w14:textId="77777777" w:rsidR="00D44DFE" w:rsidRDefault="00D44DFE" w:rsidP="00126F8F">
      <w:r>
        <w:separator/>
      </w:r>
    </w:p>
  </w:endnote>
  <w:endnote w:type="continuationSeparator" w:id="0">
    <w:p w14:paraId="04CEED71" w14:textId="77777777" w:rsidR="00D44DFE" w:rsidRDefault="00D44DF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30BA5" w:rsidRDefault="00730BA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30BA5" w:rsidRDefault="00730BA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730BA5" w:rsidRDefault="00730BA5">
        <w:pPr>
          <w:pStyle w:val="Footer"/>
          <w:jc w:val="right"/>
        </w:pPr>
        <w:r>
          <w:fldChar w:fldCharType="begin"/>
        </w:r>
        <w:r>
          <w:instrText xml:space="preserve"> PAGE   \* MERGEFORMAT </w:instrText>
        </w:r>
        <w:r>
          <w:fldChar w:fldCharType="separate"/>
        </w:r>
        <w:r w:rsidR="00666C3A">
          <w:rPr>
            <w:noProof/>
          </w:rPr>
          <w:t>iii</w:t>
        </w:r>
        <w:r>
          <w:rPr>
            <w:noProof/>
          </w:rPr>
          <w:fldChar w:fldCharType="end"/>
        </w:r>
      </w:p>
    </w:sdtContent>
  </w:sdt>
  <w:p w14:paraId="70B83565" w14:textId="55CB70FF" w:rsidR="00730BA5" w:rsidRPr="00302F13" w:rsidRDefault="00730BA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730BA5" w:rsidRDefault="00730BA5">
        <w:pPr>
          <w:pStyle w:val="Footer"/>
          <w:jc w:val="right"/>
          <w:rPr>
            <w:noProof/>
          </w:rPr>
        </w:pPr>
        <w:r>
          <w:fldChar w:fldCharType="begin"/>
        </w:r>
        <w:r>
          <w:instrText xml:space="preserve"> PAGE   \* MERGEFORMAT </w:instrText>
        </w:r>
        <w:r>
          <w:fldChar w:fldCharType="separate"/>
        </w:r>
        <w:r w:rsidR="00666C3A">
          <w:rPr>
            <w:noProof/>
          </w:rPr>
          <w:t>ii</w:t>
        </w:r>
        <w:r>
          <w:rPr>
            <w:noProof/>
          </w:rPr>
          <w:fldChar w:fldCharType="end"/>
        </w:r>
      </w:p>
      <w:p w14:paraId="5140FB3A" w14:textId="638CFF23" w:rsidR="00730BA5" w:rsidRDefault="00730BA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30BA5" w:rsidRPr="002A7CAC" w:rsidRDefault="00730BA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730BA5" w:rsidRDefault="00730BA5" w:rsidP="00126F8F">
        <w:pPr>
          <w:pStyle w:val="Footer"/>
        </w:pPr>
      </w:p>
      <w:p w14:paraId="09E77A3E" w14:textId="77777777" w:rsidR="00730BA5" w:rsidRDefault="00730BA5" w:rsidP="00167573">
        <w:pPr>
          <w:pStyle w:val="Footer"/>
          <w:jc w:val="right"/>
        </w:pPr>
        <w:r>
          <w:fldChar w:fldCharType="begin"/>
        </w:r>
        <w:r>
          <w:instrText xml:space="preserve"> PAGE   \* MERGEFORMAT </w:instrText>
        </w:r>
        <w:r>
          <w:fldChar w:fldCharType="separate"/>
        </w:r>
        <w:r w:rsidR="00666C3A">
          <w:rPr>
            <w:noProof/>
          </w:rPr>
          <w:t>5</w:t>
        </w:r>
        <w:r>
          <w:rPr>
            <w:noProof/>
          </w:rPr>
          <w:fldChar w:fldCharType="end"/>
        </w:r>
      </w:p>
    </w:sdtContent>
  </w:sdt>
  <w:p w14:paraId="10496282" w14:textId="7D11514A" w:rsidR="00730BA5" w:rsidRPr="00406CE9" w:rsidRDefault="00730BA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3B07F" w14:textId="77777777" w:rsidR="00D44DFE" w:rsidRDefault="00D44DFE" w:rsidP="00126F8F">
      <w:r>
        <w:separator/>
      </w:r>
    </w:p>
  </w:footnote>
  <w:footnote w:type="continuationSeparator" w:id="0">
    <w:p w14:paraId="48D0DF90" w14:textId="77777777" w:rsidR="00D44DFE" w:rsidRDefault="00D44DFE" w:rsidP="00126F8F">
      <w:r>
        <w:continuationSeparator/>
      </w:r>
    </w:p>
  </w:footnote>
  <w:footnote w:id="1">
    <w:p w14:paraId="0CBD2DB0" w14:textId="77777777" w:rsidR="00730BA5" w:rsidRPr="004A08A3" w:rsidRDefault="00730BA5">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730BA5" w:rsidRPr="004A08A3" w:rsidRDefault="00730BA5">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730BA5" w:rsidRPr="004A08A3" w:rsidRDefault="00730BA5">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730BA5" w:rsidRPr="004A08A3" w:rsidRDefault="00730BA5"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730BA5" w:rsidRPr="004A08A3" w:rsidRDefault="00730BA5">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730BA5" w:rsidRPr="002A6657" w:rsidRDefault="00730BA5" w:rsidP="00E75F79">
    <w:pPr>
      <w:pStyle w:val="Header"/>
      <w:jc w:val="right"/>
    </w:pPr>
    <w:r>
      <w:tab/>
      <w:t>STIX 1.2: CORE SPECIFICATION (v1.2)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30BA5" w:rsidRDefault="00730BA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730BA5" w:rsidRDefault="00730BA5" w:rsidP="00E9592D">
    <w:pPr>
      <w:pStyle w:val="Header"/>
      <w:jc w:val="right"/>
    </w:pPr>
    <w:r>
      <w:t>STIX 1.2: CORE SPECIFICATION (v1.2)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30BA5" w:rsidRDefault="00730BA5" w:rsidP="00126F8F">
    <w:pPr>
      <w:pStyle w:val="Header"/>
    </w:pPr>
    <w:r>
      <w:t>UNCLASSIFIED//FOUO</w:t>
    </w:r>
  </w:p>
  <w:p w14:paraId="303BC2CE" w14:textId="77777777" w:rsidR="00730BA5" w:rsidRDefault="00730BA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3A"/>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A226F-C3AF-4F05-B436-85C7A9CE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5051</Words>
  <Characters>34101</Characters>
  <Application>Microsoft Office Word</Application>
  <DocSecurity>0</DocSecurity>
  <Lines>284</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2015-06-10T13:43:00Z</dcterms:modified>
</cp:coreProperties>
</file>