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7046F448" w:rsidR="00843252" w:rsidRPr="00430A40" w:rsidRDefault="003E079A" w:rsidP="00843252">
      <w:pPr>
        <w:jc w:val="center"/>
        <w:rPr>
          <w:rStyle w:val="BookTitle"/>
          <w:b w:val="0"/>
        </w:rPr>
      </w:pPr>
      <w:r>
        <w:rPr>
          <w:rStyle w:val="BookTitle"/>
          <w:b w:val="0"/>
        </w:rPr>
        <w:t>May 11</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C356544"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w:t>
      </w:r>
      <w:r w:rsidRPr="00B80F55">
        <w:rPr>
          <w:i/>
          <w:iCs/>
          <w:sz w:val="23"/>
          <w:szCs w:val="23"/>
        </w:rPr>
        <w:t>the</w:t>
      </w:r>
      <w:r w:rsidR="00842C08" w:rsidRPr="00B80F55">
        <w:rPr>
          <w:i/>
          <w:iCs/>
          <w:sz w:val="23"/>
          <w:szCs w:val="23"/>
        </w:rPr>
        <w:t xml:space="preserve"> Exploit Target construct, which </w:t>
      </w:r>
      <w:r w:rsidR="00B80F55" w:rsidRPr="009037C9">
        <w:rPr>
          <w:rFonts w:cs="Times New Roman"/>
          <w:i/>
          <w:sz w:val="23"/>
          <w:szCs w:val="23"/>
        </w:rPr>
        <w:t>conveys a vulnerability or weakness in software, systems, networks or configurations that is targeted for exploitation by the TTP of a Threat Actor</w:t>
      </w:r>
      <w:r w:rsidR="00842C08" w:rsidRPr="009037C9">
        <w:rPr>
          <w:i/>
          <w:iCs/>
          <w:sz w:val="23"/>
          <w:szCs w:val="23"/>
        </w:rPr>
        <w:t xml:space="preserve">.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651D8386" w:rsidR="00045142" w:rsidRPr="00430A40" w:rsidRDefault="00045142" w:rsidP="00126F8F">
      <w:pPr>
        <w:rPr>
          <w:sz w:val="28"/>
        </w:rPr>
        <w:sectPr w:rsidR="00045142" w:rsidRPr="00430A40"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2954F8">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83EEED6" w14:textId="77777777" w:rsidR="003E079A"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9122282" w:history="1">
            <w:r w:rsidR="003E079A" w:rsidRPr="00681E5A">
              <w:rPr>
                <w:rStyle w:val="Hyperlink"/>
              </w:rPr>
              <w:t>1</w:t>
            </w:r>
            <w:r w:rsidR="003E079A">
              <w:rPr>
                <w:rFonts w:eastAsiaTheme="minorEastAsia" w:cstheme="minorBidi"/>
                <w:b w:val="0"/>
                <w:sz w:val="22"/>
                <w:szCs w:val="22"/>
              </w:rPr>
              <w:tab/>
            </w:r>
            <w:r w:rsidR="003E079A" w:rsidRPr="00681E5A">
              <w:rPr>
                <w:rStyle w:val="Hyperlink"/>
              </w:rPr>
              <w:t>Introduction</w:t>
            </w:r>
            <w:r w:rsidR="003E079A">
              <w:rPr>
                <w:webHidden/>
              </w:rPr>
              <w:tab/>
            </w:r>
            <w:r w:rsidR="003E079A">
              <w:rPr>
                <w:webHidden/>
              </w:rPr>
              <w:fldChar w:fldCharType="begin"/>
            </w:r>
            <w:r w:rsidR="003E079A">
              <w:rPr>
                <w:webHidden/>
              </w:rPr>
              <w:instrText xml:space="preserve"> PAGEREF _Toc419122282 \h </w:instrText>
            </w:r>
            <w:r w:rsidR="003E079A">
              <w:rPr>
                <w:webHidden/>
              </w:rPr>
            </w:r>
            <w:r w:rsidR="003E079A">
              <w:rPr>
                <w:webHidden/>
              </w:rPr>
              <w:fldChar w:fldCharType="separate"/>
            </w:r>
            <w:r w:rsidR="00640E8E">
              <w:rPr>
                <w:webHidden/>
              </w:rPr>
              <w:t>1</w:t>
            </w:r>
            <w:r w:rsidR="003E079A">
              <w:rPr>
                <w:webHidden/>
              </w:rPr>
              <w:fldChar w:fldCharType="end"/>
            </w:r>
          </w:hyperlink>
        </w:p>
        <w:p w14:paraId="315D51D9" w14:textId="77777777" w:rsidR="003E079A" w:rsidRDefault="003A489B">
          <w:pPr>
            <w:pStyle w:val="TOC2"/>
            <w:tabs>
              <w:tab w:val="left" w:pos="880"/>
              <w:tab w:val="right" w:leader="dot" w:pos="8630"/>
            </w:tabs>
            <w:rPr>
              <w:rFonts w:eastAsiaTheme="minorEastAsia" w:cstheme="minorBidi"/>
              <w:noProof/>
              <w:sz w:val="22"/>
              <w:szCs w:val="22"/>
            </w:rPr>
          </w:pPr>
          <w:hyperlink w:anchor="_Toc419122283" w:history="1">
            <w:r w:rsidR="003E079A" w:rsidRPr="00681E5A">
              <w:rPr>
                <w:rStyle w:val="Hyperlink"/>
                <w:noProof/>
              </w:rPr>
              <w:t>1.1</w:t>
            </w:r>
            <w:r w:rsidR="003E079A">
              <w:rPr>
                <w:rFonts w:eastAsiaTheme="minorEastAsia" w:cstheme="minorBidi"/>
                <w:noProof/>
                <w:sz w:val="22"/>
                <w:szCs w:val="22"/>
              </w:rPr>
              <w:tab/>
            </w:r>
            <w:r w:rsidR="003E079A" w:rsidRPr="00681E5A">
              <w:rPr>
                <w:rStyle w:val="Hyperlink"/>
                <w:noProof/>
              </w:rPr>
              <w:t>STIX Specification Documents</w:t>
            </w:r>
            <w:r w:rsidR="003E079A">
              <w:rPr>
                <w:noProof/>
                <w:webHidden/>
              </w:rPr>
              <w:tab/>
            </w:r>
            <w:r w:rsidR="003E079A">
              <w:rPr>
                <w:noProof/>
                <w:webHidden/>
              </w:rPr>
              <w:fldChar w:fldCharType="begin"/>
            </w:r>
            <w:r w:rsidR="003E079A">
              <w:rPr>
                <w:noProof/>
                <w:webHidden/>
              </w:rPr>
              <w:instrText xml:space="preserve"> PAGEREF _Toc419122283 \h </w:instrText>
            </w:r>
            <w:r w:rsidR="003E079A">
              <w:rPr>
                <w:noProof/>
                <w:webHidden/>
              </w:rPr>
            </w:r>
            <w:r w:rsidR="003E079A">
              <w:rPr>
                <w:noProof/>
                <w:webHidden/>
              </w:rPr>
              <w:fldChar w:fldCharType="separate"/>
            </w:r>
            <w:r w:rsidR="00640E8E">
              <w:rPr>
                <w:noProof/>
                <w:webHidden/>
              </w:rPr>
              <w:t>1</w:t>
            </w:r>
            <w:r w:rsidR="003E079A">
              <w:rPr>
                <w:noProof/>
                <w:webHidden/>
              </w:rPr>
              <w:fldChar w:fldCharType="end"/>
            </w:r>
          </w:hyperlink>
        </w:p>
        <w:p w14:paraId="6419BDF5" w14:textId="77777777" w:rsidR="003E079A" w:rsidRDefault="003A489B">
          <w:pPr>
            <w:pStyle w:val="TOC2"/>
            <w:tabs>
              <w:tab w:val="left" w:pos="880"/>
              <w:tab w:val="right" w:leader="dot" w:pos="8630"/>
            </w:tabs>
            <w:rPr>
              <w:rFonts w:eastAsiaTheme="minorEastAsia" w:cstheme="minorBidi"/>
              <w:noProof/>
              <w:sz w:val="22"/>
              <w:szCs w:val="22"/>
            </w:rPr>
          </w:pPr>
          <w:hyperlink w:anchor="_Toc419122284" w:history="1">
            <w:r w:rsidR="003E079A" w:rsidRPr="00681E5A">
              <w:rPr>
                <w:rStyle w:val="Hyperlink"/>
                <w:noProof/>
              </w:rPr>
              <w:t>1.2</w:t>
            </w:r>
            <w:r w:rsidR="003E079A">
              <w:rPr>
                <w:rFonts w:eastAsiaTheme="minorEastAsia" w:cstheme="minorBidi"/>
                <w:noProof/>
                <w:sz w:val="22"/>
                <w:szCs w:val="22"/>
              </w:rPr>
              <w:tab/>
            </w:r>
            <w:r w:rsidR="003E079A" w:rsidRPr="00681E5A">
              <w:rPr>
                <w:rStyle w:val="Hyperlink"/>
                <w:noProof/>
              </w:rPr>
              <w:t>Document Conventions</w:t>
            </w:r>
            <w:r w:rsidR="003E079A">
              <w:rPr>
                <w:noProof/>
                <w:webHidden/>
              </w:rPr>
              <w:tab/>
            </w:r>
            <w:r w:rsidR="003E079A">
              <w:rPr>
                <w:noProof/>
                <w:webHidden/>
              </w:rPr>
              <w:fldChar w:fldCharType="begin"/>
            </w:r>
            <w:r w:rsidR="003E079A">
              <w:rPr>
                <w:noProof/>
                <w:webHidden/>
              </w:rPr>
              <w:instrText xml:space="preserve"> PAGEREF _Toc419122284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4A994ED3" w14:textId="77777777" w:rsidR="003E079A" w:rsidRDefault="003A489B">
          <w:pPr>
            <w:pStyle w:val="TOC3"/>
            <w:tabs>
              <w:tab w:val="left" w:pos="1320"/>
              <w:tab w:val="right" w:leader="dot" w:pos="8630"/>
            </w:tabs>
            <w:rPr>
              <w:rFonts w:eastAsiaTheme="minorEastAsia" w:cstheme="minorBidi"/>
              <w:noProof/>
              <w:sz w:val="22"/>
              <w:szCs w:val="22"/>
            </w:rPr>
          </w:pPr>
          <w:hyperlink w:anchor="_Toc419122285" w:history="1">
            <w:r w:rsidR="003E079A" w:rsidRPr="00681E5A">
              <w:rPr>
                <w:rStyle w:val="Hyperlink"/>
                <w:noProof/>
              </w:rPr>
              <w:t>1.2.1</w:t>
            </w:r>
            <w:r w:rsidR="003E079A">
              <w:rPr>
                <w:rFonts w:eastAsiaTheme="minorEastAsia" w:cstheme="minorBidi"/>
                <w:noProof/>
                <w:sz w:val="22"/>
                <w:szCs w:val="22"/>
              </w:rPr>
              <w:tab/>
            </w:r>
            <w:r w:rsidR="003E079A" w:rsidRPr="00681E5A">
              <w:rPr>
                <w:rStyle w:val="Hyperlink"/>
                <w:noProof/>
              </w:rPr>
              <w:t>Keywords</w:t>
            </w:r>
            <w:r w:rsidR="003E079A">
              <w:rPr>
                <w:noProof/>
                <w:webHidden/>
              </w:rPr>
              <w:tab/>
            </w:r>
            <w:r w:rsidR="003E079A">
              <w:rPr>
                <w:noProof/>
                <w:webHidden/>
              </w:rPr>
              <w:fldChar w:fldCharType="begin"/>
            </w:r>
            <w:r w:rsidR="003E079A">
              <w:rPr>
                <w:noProof/>
                <w:webHidden/>
              </w:rPr>
              <w:instrText xml:space="preserve"> PAGEREF _Toc419122285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7671C0ED" w14:textId="77777777" w:rsidR="003E079A" w:rsidRDefault="003A489B">
          <w:pPr>
            <w:pStyle w:val="TOC3"/>
            <w:tabs>
              <w:tab w:val="left" w:pos="1320"/>
              <w:tab w:val="right" w:leader="dot" w:pos="8630"/>
            </w:tabs>
            <w:rPr>
              <w:rFonts w:eastAsiaTheme="minorEastAsia" w:cstheme="minorBidi"/>
              <w:noProof/>
              <w:sz w:val="22"/>
              <w:szCs w:val="22"/>
            </w:rPr>
          </w:pPr>
          <w:hyperlink w:anchor="_Toc419122286" w:history="1">
            <w:r w:rsidR="003E079A" w:rsidRPr="00681E5A">
              <w:rPr>
                <w:rStyle w:val="Hyperlink"/>
                <w:noProof/>
              </w:rPr>
              <w:t>1.2.2</w:t>
            </w:r>
            <w:r w:rsidR="003E079A">
              <w:rPr>
                <w:rFonts w:eastAsiaTheme="minorEastAsia" w:cstheme="minorBidi"/>
                <w:noProof/>
                <w:sz w:val="22"/>
                <w:szCs w:val="22"/>
              </w:rPr>
              <w:tab/>
            </w:r>
            <w:r w:rsidR="003E079A" w:rsidRPr="00681E5A">
              <w:rPr>
                <w:rStyle w:val="Hyperlink"/>
                <w:noProof/>
              </w:rPr>
              <w:t>Fonts</w:t>
            </w:r>
            <w:r w:rsidR="003E079A">
              <w:rPr>
                <w:noProof/>
                <w:webHidden/>
              </w:rPr>
              <w:tab/>
            </w:r>
            <w:r w:rsidR="003E079A">
              <w:rPr>
                <w:noProof/>
                <w:webHidden/>
              </w:rPr>
              <w:fldChar w:fldCharType="begin"/>
            </w:r>
            <w:r w:rsidR="003E079A">
              <w:rPr>
                <w:noProof/>
                <w:webHidden/>
              </w:rPr>
              <w:instrText xml:space="preserve"> PAGEREF _Toc419122286 \h </w:instrText>
            </w:r>
            <w:r w:rsidR="003E079A">
              <w:rPr>
                <w:noProof/>
                <w:webHidden/>
              </w:rPr>
            </w:r>
            <w:r w:rsidR="003E079A">
              <w:rPr>
                <w:noProof/>
                <w:webHidden/>
              </w:rPr>
              <w:fldChar w:fldCharType="separate"/>
            </w:r>
            <w:r w:rsidR="00640E8E">
              <w:rPr>
                <w:noProof/>
                <w:webHidden/>
              </w:rPr>
              <w:t>2</w:t>
            </w:r>
            <w:r w:rsidR="003E079A">
              <w:rPr>
                <w:noProof/>
                <w:webHidden/>
              </w:rPr>
              <w:fldChar w:fldCharType="end"/>
            </w:r>
          </w:hyperlink>
        </w:p>
        <w:p w14:paraId="050340DB" w14:textId="77777777" w:rsidR="003E079A" w:rsidRDefault="003A489B">
          <w:pPr>
            <w:pStyle w:val="TOC3"/>
            <w:tabs>
              <w:tab w:val="left" w:pos="1320"/>
              <w:tab w:val="right" w:leader="dot" w:pos="8630"/>
            </w:tabs>
            <w:rPr>
              <w:rFonts w:eastAsiaTheme="minorEastAsia" w:cstheme="minorBidi"/>
              <w:noProof/>
              <w:sz w:val="22"/>
              <w:szCs w:val="22"/>
            </w:rPr>
          </w:pPr>
          <w:hyperlink w:anchor="_Toc419122287" w:history="1">
            <w:r w:rsidR="003E079A" w:rsidRPr="00681E5A">
              <w:rPr>
                <w:rStyle w:val="Hyperlink"/>
                <w:noProof/>
              </w:rPr>
              <w:t>1.2.3</w:t>
            </w:r>
            <w:r w:rsidR="003E079A">
              <w:rPr>
                <w:rFonts w:eastAsiaTheme="minorEastAsia" w:cstheme="minorBidi"/>
                <w:noProof/>
                <w:sz w:val="22"/>
                <w:szCs w:val="22"/>
              </w:rPr>
              <w:tab/>
            </w:r>
            <w:r w:rsidR="003E079A" w:rsidRPr="00681E5A">
              <w:rPr>
                <w:rStyle w:val="Hyperlink"/>
                <w:noProof/>
              </w:rPr>
              <w:t>UML Package References</w:t>
            </w:r>
            <w:r w:rsidR="003E079A">
              <w:rPr>
                <w:noProof/>
                <w:webHidden/>
              </w:rPr>
              <w:tab/>
            </w:r>
            <w:r w:rsidR="003E079A">
              <w:rPr>
                <w:noProof/>
                <w:webHidden/>
              </w:rPr>
              <w:fldChar w:fldCharType="begin"/>
            </w:r>
            <w:r w:rsidR="003E079A">
              <w:rPr>
                <w:noProof/>
                <w:webHidden/>
              </w:rPr>
              <w:instrText xml:space="preserve"> PAGEREF _Toc419122287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68DBD5AB" w14:textId="77777777" w:rsidR="003E079A" w:rsidRDefault="003A489B">
          <w:pPr>
            <w:pStyle w:val="TOC3"/>
            <w:tabs>
              <w:tab w:val="left" w:pos="1320"/>
              <w:tab w:val="right" w:leader="dot" w:pos="8630"/>
            </w:tabs>
            <w:rPr>
              <w:rFonts w:eastAsiaTheme="minorEastAsia" w:cstheme="minorBidi"/>
              <w:noProof/>
              <w:sz w:val="22"/>
              <w:szCs w:val="22"/>
            </w:rPr>
          </w:pPr>
          <w:hyperlink w:anchor="_Toc419122288" w:history="1">
            <w:r w:rsidR="003E079A" w:rsidRPr="00681E5A">
              <w:rPr>
                <w:rStyle w:val="Hyperlink"/>
                <w:noProof/>
              </w:rPr>
              <w:t>1.2.4</w:t>
            </w:r>
            <w:r w:rsidR="003E079A">
              <w:rPr>
                <w:rFonts w:eastAsiaTheme="minorEastAsia" w:cstheme="minorBidi"/>
                <w:noProof/>
                <w:sz w:val="22"/>
                <w:szCs w:val="22"/>
              </w:rPr>
              <w:tab/>
            </w:r>
            <w:r w:rsidR="003E079A" w:rsidRPr="00681E5A">
              <w:rPr>
                <w:rStyle w:val="Hyperlink"/>
                <w:noProof/>
              </w:rPr>
              <w:t>UML Diagrams</w:t>
            </w:r>
            <w:r w:rsidR="003E079A">
              <w:rPr>
                <w:noProof/>
                <w:webHidden/>
              </w:rPr>
              <w:tab/>
            </w:r>
            <w:r w:rsidR="003E079A">
              <w:rPr>
                <w:noProof/>
                <w:webHidden/>
              </w:rPr>
              <w:fldChar w:fldCharType="begin"/>
            </w:r>
            <w:r w:rsidR="003E079A">
              <w:rPr>
                <w:noProof/>
                <w:webHidden/>
              </w:rPr>
              <w:instrText xml:space="preserve"> PAGEREF _Toc419122288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54A0DF3B" w14:textId="77777777" w:rsidR="003E079A" w:rsidRDefault="003A489B">
          <w:pPr>
            <w:pStyle w:val="TOC4"/>
            <w:tabs>
              <w:tab w:val="left" w:pos="1760"/>
              <w:tab w:val="right" w:leader="dot" w:pos="8630"/>
            </w:tabs>
            <w:rPr>
              <w:noProof/>
              <w:sz w:val="22"/>
            </w:rPr>
          </w:pPr>
          <w:hyperlink w:anchor="_Toc419122289" w:history="1">
            <w:r w:rsidR="003E079A" w:rsidRPr="00681E5A">
              <w:rPr>
                <w:rStyle w:val="Hyperlink"/>
                <w:noProof/>
              </w:rPr>
              <w:t>1.2.4.1</w:t>
            </w:r>
            <w:r w:rsidR="003E079A">
              <w:rPr>
                <w:noProof/>
                <w:sz w:val="22"/>
              </w:rPr>
              <w:tab/>
            </w:r>
            <w:r w:rsidR="003E079A" w:rsidRPr="00681E5A">
              <w:rPr>
                <w:rStyle w:val="Hyperlink"/>
                <w:noProof/>
              </w:rPr>
              <w:t>Class Properties</w:t>
            </w:r>
            <w:r w:rsidR="003E079A">
              <w:rPr>
                <w:noProof/>
                <w:webHidden/>
              </w:rPr>
              <w:tab/>
            </w:r>
            <w:r w:rsidR="003E079A">
              <w:rPr>
                <w:noProof/>
                <w:webHidden/>
              </w:rPr>
              <w:fldChar w:fldCharType="begin"/>
            </w:r>
            <w:r w:rsidR="003E079A">
              <w:rPr>
                <w:noProof/>
                <w:webHidden/>
              </w:rPr>
              <w:instrText xml:space="preserve"> PAGEREF _Toc419122289 \h </w:instrText>
            </w:r>
            <w:r w:rsidR="003E079A">
              <w:rPr>
                <w:noProof/>
                <w:webHidden/>
              </w:rPr>
            </w:r>
            <w:r w:rsidR="003E079A">
              <w:rPr>
                <w:noProof/>
                <w:webHidden/>
              </w:rPr>
              <w:fldChar w:fldCharType="separate"/>
            </w:r>
            <w:r w:rsidR="00640E8E">
              <w:rPr>
                <w:noProof/>
                <w:webHidden/>
              </w:rPr>
              <w:t>3</w:t>
            </w:r>
            <w:r w:rsidR="003E079A">
              <w:rPr>
                <w:noProof/>
                <w:webHidden/>
              </w:rPr>
              <w:fldChar w:fldCharType="end"/>
            </w:r>
          </w:hyperlink>
        </w:p>
        <w:p w14:paraId="3AA0B9AB" w14:textId="77777777" w:rsidR="003E079A" w:rsidRDefault="003A489B">
          <w:pPr>
            <w:pStyle w:val="TOC4"/>
            <w:tabs>
              <w:tab w:val="left" w:pos="1760"/>
              <w:tab w:val="right" w:leader="dot" w:pos="8630"/>
            </w:tabs>
            <w:rPr>
              <w:noProof/>
              <w:sz w:val="22"/>
            </w:rPr>
          </w:pPr>
          <w:hyperlink w:anchor="_Toc419122290" w:history="1">
            <w:r w:rsidR="003E079A" w:rsidRPr="00681E5A">
              <w:rPr>
                <w:rStyle w:val="Hyperlink"/>
                <w:noProof/>
              </w:rPr>
              <w:t>1.2.4.2</w:t>
            </w:r>
            <w:r w:rsidR="003E079A">
              <w:rPr>
                <w:noProof/>
                <w:sz w:val="22"/>
              </w:rPr>
              <w:tab/>
            </w:r>
            <w:r w:rsidR="003E079A" w:rsidRPr="00681E5A">
              <w:rPr>
                <w:rStyle w:val="Hyperlink"/>
                <w:noProof/>
              </w:rPr>
              <w:t>Diagram Icons and Arrow Types</w:t>
            </w:r>
            <w:r w:rsidR="003E079A">
              <w:rPr>
                <w:noProof/>
                <w:webHidden/>
              </w:rPr>
              <w:tab/>
            </w:r>
            <w:r w:rsidR="003E079A">
              <w:rPr>
                <w:noProof/>
                <w:webHidden/>
              </w:rPr>
              <w:fldChar w:fldCharType="begin"/>
            </w:r>
            <w:r w:rsidR="003E079A">
              <w:rPr>
                <w:noProof/>
                <w:webHidden/>
              </w:rPr>
              <w:instrText xml:space="preserve"> PAGEREF _Toc419122290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42FFA9CA" w14:textId="77777777" w:rsidR="003E079A" w:rsidRDefault="003A489B">
          <w:pPr>
            <w:pStyle w:val="TOC4"/>
            <w:tabs>
              <w:tab w:val="left" w:pos="1760"/>
              <w:tab w:val="right" w:leader="dot" w:pos="8630"/>
            </w:tabs>
            <w:rPr>
              <w:noProof/>
              <w:sz w:val="22"/>
            </w:rPr>
          </w:pPr>
          <w:hyperlink w:anchor="_Toc419122291" w:history="1">
            <w:r w:rsidR="003E079A" w:rsidRPr="00681E5A">
              <w:rPr>
                <w:rStyle w:val="Hyperlink"/>
                <w:noProof/>
              </w:rPr>
              <w:t>1.2.4.3</w:t>
            </w:r>
            <w:r w:rsidR="003E079A">
              <w:rPr>
                <w:noProof/>
                <w:sz w:val="22"/>
              </w:rPr>
              <w:tab/>
            </w:r>
            <w:r w:rsidR="003E079A" w:rsidRPr="00681E5A">
              <w:rPr>
                <w:rStyle w:val="Hyperlink"/>
                <w:noProof/>
              </w:rPr>
              <w:t>Color Coding</w:t>
            </w:r>
            <w:r w:rsidR="003E079A">
              <w:rPr>
                <w:noProof/>
                <w:webHidden/>
              </w:rPr>
              <w:tab/>
            </w:r>
            <w:r w:rsidR="003E079A">
              <w:rPr>
                <w:noProof/>
                <w:webHidden/>
              </w:rPr>
              <w:fldChar w:fldCharType="begin"/>
            </w:r>
            <w:r w:rsidR="003E079A">
              <w:rPr>
                <w:noProof/>
                <w:webHidden/>
              </w:rPr>
              <w:instrText xml:space="preserve"> PAGEREF _Toc419122291 \h </w:instrText>
            </w:r>
            <w:r w:rsidR="003E079A">
              <w:rPr>
                <w:noProof/>
                <w:webHidden/>
              </w:rPr>
            </w:r>
            <w:r w:rsidR="003E079A">
              <w:rPr>
                <w:noProof/>
                <w:webHidden/>
              </w:rPr>
              <w:fldChar w:fldCharType="separate"/>
            </w:r>
            <w:r w:rsidR="00640E8E">
              <w:rPr>
                <w:noProof/>
                <w:webHidden/>
              </w:rPr>
              <w:t>4</w:t>
            </w:r>
            <w:r w:rsidR="003E079A">
              <w:rPr>
                <w:noProof/>
                <w:webHidden/>
              </w:rPr>
              <w:fldChar w:fldCharType="end"/>
            </w:r>
          </w:hyperlink>
        </w:p>
        <w:p w14:paraId="65218DF6" w14:textId="77777777" w:rsidR="003E079A" w:rsidRDefault="003A489B">
          <w:pPr>
            <w:pStyle w:val="TOC3"/>
            <w:tabs>
              <w:tab w:val="left" w:pos="1320"/>
              <w:tab w:val="right" w:leader="dot" w:pos="8630"/>
            </w:tabs>
            <w:rPr>
              <w:rFonts w:eastAsiaTheme="minorEastAsia" w:cstheme="minorBidi"/>
              <w:noProof/>
              <w:sz w:val="22"/>
              <w:szCs w:val="22"/>
            </w:rPr>
          </w:pPr>
          <w:hyperlink w:anchor="_Toc419122292" w:history="1">
            <w:r w:rsidR="003E079A" w:rsidRPr="00681E5A">
              <w:rPr>
                <w:rStyle w:val="Hyperlink"/>
                <w:noProof/>
              </w:rPr>
              <w:t>1.2.5</w:t>
            </w:r>
            <w:r w:rsidR="003E079A">
              <w:rPr>
                <w:rFonts w:eastAsiaTheme="minorEastAsia" w:cstheme="minorBidi"/>
                <w:noProof/>
                <w:sz w:val="22"/>
                <w:szCs w:val="22"/>
              </w:rPr>
              <w:tab/>
            </w:r>
            <w:r w:rsidR="003E079A" w:rsidRPr="00681E5A">
              <w:rPr>
                <w:rStyle w:val="Hyperlink"/>
                <w:noProof/>
              </w:rPr>
              <w:t>Property Table Notation</w:t>
            </w:r>
            <w:r w:rsidR="003E079A">
              <w:rPr>
                <w:noProof/>
                <w:webHidden/>
              </w:rPr>
              <w:tab/>
            </w:r>
            <w:r w:rsidR="003E079A">
              <w:rPr>
                <w:noProof/>
                <w:webHidden/>
              </w:rPr>
              <w:fldChar w:fldCharType="begin"/>
            </w:r>
            <w:r w:rsidR="003E079A">
              <w:rPr>
                <w:noProof/>
                <w:webHidden/>
              </w:rPr>
              <w:instrText xml:space="preserve"> PAGEREF _Toc419122292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534FFF91" w14:textId="77777777" w:rsidR="003E079A" w:rsidRDefault="003A489B">
          <w:pPr>
            <w:pStyle w:val="TOC3"/>
            <w:tabs>
              <w:tab w:val="left" w:pos="1320"/>
              <w:tab w:val="right" w:leader="dot" w:pos="8630"/>
            </w:tabs>
            <w:rPr>
              <w:rFonts w:eastAsiaTheme="minorEastAsia" w:cstheme="minorBidi"/>
              <w:noProof/>
              <w:sz w:val="22"/>
              <w:szCs w:val="22"/>
            </w:rPr>
          </w:pPr>
          <w:hyperlink w:anchor="_Toc419122293" w:history="1">
            <w:r w:rsidR="003E079A" w:rsidRPr="00681E5A">
              <w:rPr>
                <w:rStyle w:val="Hyperlink"/>
                <w:noProof/>
              </w:rPr>
              <w:t>1.2.6</w:t>
            </w:r>
            <w:r w:rsidR="003E079A">
              <w:rPr>
                <w:rFonts w:eastAsiaTheme="minorEastAsia" w:cstheme="minorBidi"/>
                <w:noProof/>
                <w:sz w:val="22"/>
                <w:szCs w:val="22"/>
              </w:rPr>
              <w:tab/>
            </w:r>
            <w:r w:rsidR="003E079A" w:rsidRPr="00681E5A">
              <w:rPr>
                <w:rStyle w:val="Hyperlink"/>
                <w:noProof/>
              </w:rPr>
              <w:t>Property and Class Descriptions</w:t>
            </w:r>
            <w:r w:rsidR="003E079A">
              <w:rPr>
                <w:noProof/>
                <w:webHidden/>
              </w:rPr>
              <w:tab/>
            </w:r>
            <w:r w:rsidR="003E079A">
              <w:rPr>
                <w:noProof/>
                <w:webHidden/>
              </w:rPr>
              <w:fldChar w:fldCharType="begin"/>
            </w:r>
            <w:r w:rsidR="003E079A">
              <w:rPr>
                <w:noProof/>
                <w:webHidden/>
              </w:rPr>
              <w:instrText xml:space="preserve"> PAGEREF _Toc419122293 \h </w:instrText>
            </w:r>
            <w:r w:rsidR="003E079A">
              <w:rPr>
                <w:noProof/>
                <w:webHidden/>
              </w:rPr>
            </w:r>
            <w:r w:rsidR="003E079A">
              <w:rPr>
                <w:noProof/>
                <w:webHidden/>
              </w:rPr>
              <w:fldChar w:fldCharType="separate"/>
            </w:r>
            <w:r w:rsidR="00640E8E">
              <w:rPr>
                <w:noProof/>
                <w:webHidden/>
              </w:rPr>
              <w:t>5</w:t>
            </w:r>
            <w:r w:rsidR="003E079A">
              <w:rPr>
                <w:noProof/>
                <w:webHidden/>
              </w:rPr>
              <w:fldChar w:fldCharType="end"/>
            </w:r>
          </w:hyperlink>
        </w:p>
        <w:p w14:paraId="3F0C386A" w14:textId="77777777" w:rsidR="003E079A" w:rsidRDefault="003A489B">
          <w:pPr>
            <w:pStyle w:val="TOC1"/>
            <w:rPr>
              <w:rFonts w:eastAsiaTheme="minorEastAsia" w:cstheme="minorBidi"/>
              <w:b w:val="0"/>
              <w:sz w:val="22"/>
              <w:szCs w:val="22"/>
            </w:rPr>
          </w:pPr>
          <w:hyperlink w:anchor="_Toc419122294" w:history="1">
            <w:r w:rsidR="003E079A" w:rsidRPr="00681E5A">
              <w:rPr>
                <w:rStyle w:val="Hyperlink"/>
              </w:rPr>
              <w:t>2</w:t>
            </w:r>
            <w:r w:rsidR="003E079A">
              <w:rPr>
                <w:rFonts w:eastAsiaTheme="minorEastAsia" w:cstheme="minorBidi"/>
                <w:b w:val="0"/>
                <w:sz w:val="22"/>
                <w:szCs w:val="22"/>
              </w:rPr>
              <w:tab/>
            </w:r>
            <w:r w:rsidR="003E079A" w:rsidRPr="00681E5A">
              <w:rPr>
                <w:rStyle w:val="Hyperlink"/>
              </w:rPr>
              <w:t>Background Information</w:t>
            </w:r>
            <w:r w:rsidR="003E079A">
              <w:rPr>
                <w:webHidden/>
              </w:rPr>
              <w:tab/>
            </w:r>
            <w:r w:rsidR="003E079A">
              <w:rPr>
                <w:webHidden/>
              </w:rPr>
              <w:fldChar w:fldCharType="begin"/>
            </w:r>
            <w:r w:rsidR="003E079A">
              <w:rPr>
                <w:webHidden/>
              </w:rPr>
              <w:instrText xml:space="preserve"> PAGEREF _Toc419122294 \h </w:instrText>
            </w:r>
            <w:r w:rsidR="003E079A">
              <w:rPr>
                <w:webHidden/>
              </w:rPr>
            </w:r>
            <w:r w:rsidR="003E079A">
              <w:rPr>
                <w:webHidden/>
              </w:rPr>
              <w:fldChar w:fldCharType="separate"/>
            </w:r>
            <w:r w:rsidR="00640E8E">
              <w:rPr>
                <w:webHidden/>
              </w:rPr>
              <w:t>7</w:t>
            </w:r>
            <w:r w:rsidR="003E079A">
              <w:rPr>
                <w:webHidden/>
              </w:rPr>
              <w:fldChar w:fldCharType="end"/>
            </w:r>
          </w:hyperlink>
        </w:p>
        <w:p w14:paraId="52DD1312" w14:textId="77777777" w:rsidR="003E079A" w:rsidRDefault="003A489B">
          <w:pPr>
            <w:pStyle w:val="TOC2"/>
            <w:tabs>
              <w:tab w:val="left" w:pos="880"/>
              <w:tab w:val="right" w:leader="dot" w:pos="8630"/>
            </w:tabs>
            <w:rPr>
              <w:rFonts w:eastAsiaTheme="minorEastAsia" w:cstheme="minorBidi"/>
              <w:noProof/>
              <w:sz w:val="22"/>
              <w:szCs w:val="22"/>
            </w:rPr>
          </w:pPr>
          <w:hyperlink w:anchor="_Toc419122295" w:history="1">
            <w:r w:rsidR="003E079A" w:rsidRPr="00681E5A">
              <w:rPr>
                <w:rStyle w:val="Hyperlink"/>
                <w:noProof/>
              </w:rPr>
              <w:t>2.1</w:t>
            </w:r>
            <w:r w:rsidR="003E079A">
              <w:rPr>
                <w:rFonts w:eastAsiaTheme="minorEastAsia" w:cstheme="minorBidi"/>
                <w:noProof/>
                <w:sz w:val="22"/>
                <w:szCs w:val="22"/>
              </w:rPr>
              <w:tab/>
            </w:r>
            <w:r w:rsidR="003E079A" w:rsidRPr="00681E5A">
              <w:rPr>
                <w:rStyle w:val="Hyperlink"/>
                <w:noProof/>
              </w:rPr>
              <w:t>Exploit Target-Related Component Data Models</w:t>
            </w:r>
            <w:r w:rsidR="003E079A">
              <w:rPr>
                <w:noProof/>
                <w:webHidden/>
              </w:rPr>
              <w:tab/>
            </w:r>
            <w:r w:rsidR="003E079A">
              <w:rPr>
                <w:noProof/>
                <w:webHidden/>
              </w:rPr>
              <w:fldChar w:fldCharType="begin"/>
            </w:r>
            <w:r w:rsidR="003E079A">
              <w:rPr>
                <w:noProof/>
                <w:webHidden/>
              </w:rPr>
              <w:instrText xml:space="preserve"> PAGEREF _Toc419122295 \h </w:instrText>
            </w:r>
            <w:r w:rsidR="003E079A">
              <w:rPr>
                <w:noProof/>
                <w:webHidden/>
              </w:rPr>
            </w:r>
            <w:r w:rsidR="003E079A">
              <w:rPr>
                <w:noProof/>
                <w:webHidden/>
              </w:rPr>
              <w:fldChar w:fldCharType="separate"/>
            </w:r>
            <w:r w:rsidR="00640E8E">
              <w:rPr>
                <w:noProof/>
                <w:webHidden/>
              </w:rPr>
              <w:t>7</w:t>
            </w:r>
            <w:r w:rsidR="003E079A">
              <w:rPr>
                <w:noProof/>
                <w:webHidden/>
              </w:rPr>
              <w:fldChar w:fldCharType="end"/>
            </w:r>
          </w:hyperlink>
        </w:p>
        <w:p w14:paraId="06318E35" w14:textId="77777777" w:rsidR="003E079A" w:rsidRDefault="003A489B">
          <w:pPr>
            <w:pStyle w:val="TOC1"/>
            <w:rPr>
              <w:rFonts w:eastAsiaTheme="minorEastAsia" w:cstheme="minorBidi"/>
              <w:b w:val="0"/>
              <w:sz w:val="22"/>
              <w:szCs w:val="22"/>
            </w:rPr>
          </w:pPr>
          <w:hyperlink w:anchor="_Toc419122296" w:history="1">
            <w:r w:rsidR="003E079A" w:rsidRPr="00681E5A">
              <w:rPr>
                <w:rStyle w:val="Hyperlink"/>
              </w:rPr>
              <w:t>3</w:t>
            </w:r>
            <w:r w:rsidR="003E079A">
              <w:rPr>
                <w:rFonts w:eastAsiaTheme="minorEastAsia" w:cstheme="minorBidi"/>
                <w:b w:val="0"/>
                <w:sz w:val="22"/>
                <w:szCs w:val="22"/>
              </w:rPr>
              <w:tab/>
            </w:r>
            <w:r w:rsidR="003E079A" w:rsidRPr="00681E5A">
              <w:rPr>
                <w:rStyle w:val="Hyperlink"/>
              </w:rPr>
              <w:t>STIX Exploit Target Data Model</w:t>
            </w:r>
            <w:r w:rsidR="003E079A">
              <w:rPr>
                <w:webHidden/>
              </w:rPr>
              <w:tab/>
            </w:r>
            <w:r w:rsidR="003E079A">
              <w:rPr>
                <w:webHidden/>
              </w:rPr>
              <w:fldChar w:fldCharType="begin"/>
            </w:r>
            <w:r w:rsidR="003E079A">
              <w:rPr>
                <w:webHidden/>
              </w:rPr>
              <w:instrText xml:space="preserve"> PAGEREF _Toc419122296 \h </w:instrText>
            </w:r>
            <w:r w:rsidR="003E079A">
              <w:rPr>
                <w:webHidden/>
              </w:rPr>
            </w:r>
            <w:r w:rsidR="003E079A">
              <w:rPr>
                <w:webHidden/>
              </w:rPr>
              <w:fldChar w:fldCharType="separate"/>
            </w:r>
            <w:r w:rsidR="00640E8E">
              <w:rPr>
                <w:webHidden/>
              </w:rPr>
              <w:t>9</w:t>
            </w:r>
            <w:r w:rsidR="003E079A">
              <w:rPr>
                <w:webHidden/>
              </w:rPr>
              <w:fldChar w:fldCharType="end"/>
            </w:r>
          </w:hyperlink>
        </w:p>
        <w:p w14:paraId="3629339D" w14:textId="77777777" w:rsidR="003E079A" w:rsidRDefault="003A489B">
          <w:pPr>
            <w:pStyle w:val="TOC2"/>
            <w:tabs>
              <w:tab w:val="left" w:pos="880"/>
              <w:tab w:val="right" w:leader="dot" w:pos="8630"/>
            </w:tabs>
            <w:rPr>
              <w:rFonts w:eastAsiaTheme="minorEastAsia" w:cstheme="minorBidi"/>
              <w:noProof/>
              <w:sz w:val="22"/>
              <w:szCs w:val="22"/>
            </w:rPr>
          </w:pPr>
          <w:hyperlink w:anchor="_Toc419122297" w:history="1">
            <w:r w:rsidR="003E079A" w:rsidRPr="00681E5A">
              <w:rPr>
                <w:rStyle w:val="Hyperlink"/>
                <w:noProof/>
              </w:rPr>
              <w:t>3.1</w:t>
            </w:r>
            <w:r w:rsidR="003E079A">
              <w:rPr>
                <w:rFonts w:eastAsiaTheme="minorEastAsia" w:cstheme="minorBidi"/>
                <w:noProof/>
                <w:sz w:val="22"/>
                <w:szCs w:val="22"/>
              </w:rPr>
              <w:tab/>
            </w:r>
            <w:r w:rsidR="003E079A" w:rsidRPr="00681E5A">
              <w:rPr>
                <w:rStyle w:val="Hyperlink"/>
                <w:noProof/>
              </w:rPr>
              <w:t>ExploitTargetVersionType Enumeration</w:t>
            </w:r>
            <w:r w:rsidR="003E079A">
              <w:rPr>
                <w:noProof/>
                <w:webHidden/>
              </w:rPr>
              <w:tab/>
            </w:r>
            <w:r w:rsidR="003E079A">
              <w:rPr>
                <w:noProof/>
                <w:webHidden/>
              </w:rPr>
              <w:fldChar w:fldCharType="begin"/>
            </w:r>
            <w:r w:rsidR="003E079A">
              <w:rPr>
                <w:noProof/>
                <w:webHidden/>
              </w:rPr>
              <w:instrText xml:space="preserve"> PAGEREF _Toc419122297 \h </w:instrText>
            </w:r>
            <w:r w:rsidR="003E079A">
              <w:rPr>
                <w:noProof/>
                <w:webHidden/>
              </w:rPr>
            </w:r>
            <w:r w:rsidR="003E079A">
              <w:rPr>
                <w:noProof/>
                <w:webHidden/>
              </w:rPr>
              <w:fldChar w:fldCharType="separate"/>
            </w:r>
            <w:r w:rsidR="00640E8E">
              <w:rPr>
                <w:noProof/>
                <w:webHidden/>
              </w:rPr>
              <w:t>11</w:t>
            </w:r>
            <w:r w:rsidR="003E079A">
              <w:rPr>
                <w:noProof/>
                <w:webHidden/>
              </w:rPr>
              <w:fldChar w:fldCharType="end"/>
            </w:r>
          </w:hyperlink>
        </w:p>
        <w:p w14:paraId="65ADD5E4" w14:textId="77777777" w:rsidR="003E079A" w:rsidRDefault="003A489B">
          <w:pPr>
            <w:pStyle w:val="TOC2"/>
            <w:tabs>
              <w:tab w:val="left" w:pos="880"/>
              <w:tab w:val="right" w:leader="dot" w:pos="8630"/>
            </w:tabs>
            <w:rPr>
              <w:rFonts w:eastAsiaTheme="minorEastAsia" w:cstheme="minorBidi"/>
              <w:noProof/>
              <w:sz w:val="22"/>
              <w:szCs w:val="22"/>
            </w:rPr>
          </w:pPr>
          <w:hyperlink w:anchor="_Toc419122298" w:history="1">
            <w:r w:rsidR="003E079A" w:rsidRPr="00681E5A">
              <w:rPr>
                <w:rStyle w:val="Hyperlink"/>
                <w:noProof/>
              </w:rPr>
              <w:t>3.2</w:t>
            </w:r>
            <w:r w:rsidR="003E079A">
              <w:rPr>
                <w:rFonts w:eastAsiaTheme="minorEastAsia" w:cstheme="minorBidi"/>
                <w:noProof/>
                <w:sz w:val="22"/>
                <w:szCs w:val="22"/>
              </w:rPr>
              <w:tab/>
            </w:r>
            <w:r w:rsidR="003E079A" w:rsidRPr="00681E5A">
              <w:rPr>
                <w:rStyle w:val="Hyperlink"/>
                <w:noProof/>
              </w:rPr>
              <w:t>VulnerabilityType Class</w:t>
            </w:r>
            <w:r w:rsidR="003E079A">
              <w:rPr>
                <w:noProof/>
                <w:webHidden/>
              </w:rPr>
              <w:tab/>
            </w:r>
            <w:r w:rsidR="003E079A">
              <w:rPr>
                <w:noProof/>
                <w:webHidden/>
              </w:rPr>
              <w:fldChar w:fldCharType="begin"/>
            </w:r>
            <w:r w:rsidR="003E079A">
              <w:rPr>
                <w:noProof/>
                <w:webHidden/>
              </w:rPr>
              <w:instrText xml:space="preserve"> PAGEREF _Toc419122298 \h </w:instrText>
            </w:r>
            <w:r w:rsidR="003E079A">
              <w:rPr>
                <w:noProof/>
                <w:webHidden/>
              </w:rPr>
            </w:r>
            <w:r w:rsidR="003E079A">
              <w:rPr>
                <w:noProof/>
                <w:webHidden/>
              </w:rPr>
              <w:fldChar w:fldCharType="separate"/>
            </w:r>
            <w:r w:rsidR="00640E8E">
              <w:rPr>
                <w:noProof/>
                <w:webHidden/>
              </w:rPr>
              <w:t>12</w:t>
            </w:r>
            <w:r w:rsidR="003E079A">
              <w:rPr>
                <w:noProof/>
                <w:webHidden/>
              </w:rPr>
              <w:fldChar w:fldCharType="end"/>
            </w:r>
          </w:hyperlink>
        </w:p>
        <w:p w14:paraId="58F36D15" w14:textId="77777777" w:rsidR="003E079A" w:rsidRDefault="003A489B">
          <w:pPr>
            <w:pStyle w:val="TOC3"/>
            <w:tabs>
              <w:tab w:val="left" w:pos="1320"/>
              <w:tab w:val="right" w:leader="dot" w:pos="8630"/>
            </w:tabs>
            <w:rPr>
              <w:rFonts w:eastAsiaTheme="minorEastAsia" w:cstheme="minorBidi"/>
              <w:noProof/>
              <w:sz w:val="22"/>
              <w:szCs w:val="22"/>
            </w:rPr>
          </w:pPr>
          <w:hyperlink w:anchor="_Toc419122299" w:history="1">
            <w:r w:rsidR="003E079A" w:rsidRPr="00681E5A">
              <w:rPr>
                <w:rStyle w:val="Hyperlink"/>
                <w:noProof/>
              </w:rPr>
              <w:t>3.2.1</w:t>
            </w:r>
            <w:r w:rsidR="003E079A">
              <w:rPr>
                <w:rFonts w:eastAsiaTheme="minorEastAsia" w:cstheme="minorBidi"/>
                <w:noProof/>
                <w:sz w:val="22"/>
                <w:szCs w:val="22"/>
              </w:rPr>
              <w:tab/>
            </w:r>
            <w:r w:rsidR="003E079A" w:rsidRPr="00681E5A">
              <w:rPr>
                <w:rStyle w:val="Hyperlink"/>
                <w:noProof/>
              </w:rPr>
              <w:t>CVSSVectorType Class</w:t>
            </w:r>
            <w:r w:rsidR="003E079A">
              <w:rPr>
                <w:noProof/>
                <w:webHidden/>
              </w:rPr>
              <w:tab/>
            </w:r>
            <w:r w:rsidR="003E079A">
              <w:rPr>
                <w:noProof/>
                <w:webHidden/>
              </w:rPr>
              <w:fldChar w:fldCharType="begin"/>
            </w:r>
            <w:r w:rsidR="003E079A">
              <w:rPr>
                <w:noProof/>
                <w:webHidden/>
              </w:rPr>
              <w:instrText xml:space="preserve"> PAGEREF _Toc419122299 \h </w:instrText>
            </w:r>
            <w:r w:rsidR="003E079A">
              <w:rPr>
                <w:noProof/>
                <w:webHidden/>
              </w:rPr>
            </w:r>
            <w:r w:rsidR="003E079A">
              <w:rPr>
                <w:noProof/>
                <w:webHidden/>
              </w:rPr>
              <w:fldChar w:fldCharType="separate"/>
            </w:r>
            <w:r w:rsidR="00640E8E">
              <w:rPr>
                <w:noProof/>
                <w:webHidden/>
              </w:rPr>
              <w:t>15</w:t>
            </w:r>
            <w:r w:rsidR="003E079A">
              <w:rPr>
                <w:noProof/>
                <w:webHidden/>
              </w:rPr>
              <w:fldChar w:fldCharType="end"/>
            </w:r>
          </w:hyperlink>
        </w:p>
        <w:p w14:paraId="0DACB5FE" w14:textId="77777777" w:rsidR="003E079A" w:rsidRDefault="003A489B">
          <w:pPr>
            <w:pStyle w:val="TOC4"/>
            <w:tabs>
              <w:tab w:val="left" w:pos="1760"/>
              <w:tab w:val="right" w:leader="dot" w:pos="8630"/>
            </w:tabs>
            <w:rPr>
              <w:noProof/>
              <w:sz w:val="22"/>
            </w:rPr>
          </w:pPr>
          <w:hyperlink w:anchor="_Toc419122300" w:history="1">
            <w:r w:rsidR="003E079A" w:rsidRPr="00681E5A">
              <w:rPr>
                <w:rStyle w:val="Hyperlink"/>
                <w:noProof/>
              </w:rPr>
              <w:t>3.2.1.1</w:t>
            </w:r>
            <w:r w:rsidR="003E079A">
              <w:rPr>
                <w:noProof/>
                <w:sz w:val="22"/>
              </w:rPr>
              <w:tab/>
            </w:r>
            <w:r w:rsidR="003E079A" w:rsidRPr="00681E5A">
              <w:rPr>
                <w:rStyle w:val="Hyperlink"/>
                <w:noProof/>
              </w:rPr>
              <w:t>CVSSScoreType Data Type</w:t>
            </w:r>
            <w:r w:rsidR="003E079A">
              <w:rPr>
                <w:noProof/>
                <w:webHidden/>
              </w:rPr>
              <w:tab/>
            </w:r>
            <w:r w:rsidR="003E079A">
              <w:rPr>
                <w:noProof/>
                <w:webHidden/>
              </w:rPr>
              <w:fldChar w:fldCharType="begin"/>
            </w:r>
            <w:r w:rsidR="003E079A">
              <w:rPr>
                <w:noProof/>
                <w:webHidden/>
              </w:rPr>
              <w:instrText xml:space="preserve"> PAGEREF _Toc419122300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35CE9250" w14:textId="77777777" w:rsidR="003E079A" w:rsidRDefault="003A489B">
          <w:pPr>
            <w:pStyle w:val="TOC4"/>
            <w:tabs>
              <w:tab w:val="left" w:pos="1760"/>
              <w:tab w:val="right" w:leader="dot" w:pos="8630"/>
            </w:tabs>
            <w:rPr>
              <w:noProof/>
              <w:sz w:val="22"/>
            </w:rPr>
          </w:pPr>
          <w:hyperlink w:anchor="_Toc419122301" w:history="1">
            <w:r w:rsidR="003E079A" w:rsidRPr="00681E5A">
              <w:rPr>
                <w:rStyle w:val="Hyperlink"/>
                <w:noProof/>
              </w:rPr>
              <w:t>3.2.1.2</w:t>
            </w:r>
            <w:r w:rsidR="003E079A">
              <w:rPr>
                <w:noProof/>
                <w:sz w:val="22"/>
              </w:rPr>
              <w:tab/>
            </w:r>
            <w:r w:rsidR="003E079A" w:rsidRPr="00681E5A">
              <w:rPr>
                <w:rStyle w:val="Hyperlink"/>
                <w:noProof/>
              </w:rPr>
              <w:t>CVSSBaseVectorType Data Type</w:t>
            </w:r>
            <w:r w:rsidR="003E079A">
              <w:rPr>
                <w:noProof/>
                <w:webHidden/>
              </w:rPr>
              <w:tab/>
            </w:r>
            <w:r w:rsidR="003E079A">
              <w:rPr>
                <w:noProof/>
                <w:webHidden/>
              </w:rPr>
              <w:fldChar w:fldCharType="begin"/>
            </w:r>
            <w:r w:rsidR="003E079A">
              <w:rPr>
                <w:noProof/>
                <w:webHidden/>
              </w:rPr>
              <w:instrText xml:space="preserve"> PAGEREF _Toc419122301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CFD403" w14:textId="77777777" w:rsidR="003E079A" w:rsidRDefault="003A489B">
          <w:pPr>
            <w:pStyle w:val="TOC4"/>
            <w:tabs>
              <w:tab w:val="left" w:pos="1760"/>
              <w:tab w:val="right" w:leader="dot" w:pos="8630"/>
            </w:tabs>
            <w:rPr>
              <w:noProof/>
              <w:sz w:val="22"/>
            </w:rPr>
          </w:pPr>
          <w:hyperlink w:anchor="_Toc419122302" w:history="1">
            <w:r w:rsidR="003E079A" w:rsidRPr="00681E5A">
              <w:rPr>
                <w:rStyle w:val="Hyperlink"/>
                <w:noProof/>
              </w:rPr>
              <w:t>3.2.1.3</w:t>
            </w:r>
            <w:r w:rsidR="003E079A">
              <w:rPr>
                <w:noProof/>
                <w:sz w:val="22"/>
              </w:rPr>
              <w:tab/>
            </w:r>
            <w:r w:rsidR="003E079A" w:rsidRPr="00681E5A">
              <w:rPr>
                <w:rStyle w:val="Hyperlink"/>
                <w:noProof/>
              </w:rPr>
              <w:t>CVSSTemporalVectorType Data Type</w:t>
            </w:r>
            <w:r w:rsidR="003E079A">
              <w:rPr>
                <w:noProof/>
                <w:webHidden/>
              </w:rPr>
              <w:tab/>
            </w:r>
            <w:r w:rsidR="003E079A">
              <w:rPr>
                <w:noProof/>
                <w:webHidden/>
              </w:rPr>
              <w:fldChar w:fldCharType="begin"/>
            </w:r>
            <w:r w:rsidR="003E079A">
              <w:rPr>
                <w:noProof/>
                <w:webHidden/>
              </w:rPr>
              <w:instrText xml:space="preserve"> PAGEREF _Toc419122302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500565D5" w14:textId="77777777" w:rsidR="003E079A" w:rsidRDefault="003A489B">
          <w:pPr>
            <w:pStyle w:val="TOC4"/>
            <w:tabs>
              <w:tab w:val="left" w:pos="1760"/>
              <w:tab w:val="right" w:leader="dot" w:pos="8630"/>
            </w:tabs>
            <w:rPr>
              <w:noProof/>
              <w:sz w:val="22"/>
            </w:rPr>
          </w:pPr>
          <w:hyperlink w:anchor="_Toc419122303" w:history="1">
            <w:r w:rsidR="003E079A" w:rsidRPr="00681E5A">
              <w:rPr>
                <w:rStyle w:val="Hyperlink"/>
                <w:noProof/>
              </w:rPr>
              <w:t>3.2.1.4</w:t>
            </w:r>
            <w:r w:rsidR="003E079A">
              <w:rPr>
                <w:noProof/>
                <w:sz w:val="22"/>
              </w:rPr>
              <w:tab/>
            </w:r>
            <w:r w:rsidR="003E079A" w:rsidRPr="00681E5A">
              <w:rPr>
                <w:rStyle w:val="Hyperlink"/>
                <w:noProof/>
              </w:rPr>
              <w:t>CVSSEnvironmentalVectorType Data Type</w:t>
            </w:r>
            <w:r w:rsidR="003E079A">
              <w:rPr>
                <w:noProof/>
                <w:webHidden/>
              </w:rPr>
              <w:tab/>
            </w:r>
            <w:r w:rsidR="003E079A">
              <w:rPr>
                <w:noProof/>
                <w:webHidden/>
              </w:rPr>
              <w:fldChar w:fldCharType="begin"/>
            </w:r>
            <w:r w:rsidR="003E079A">
              <w:rPr>
                <w:noProof/>
                <w:webHidden/>
              </w:rPr>
              <w:instrText xml:space="preserve"> PAGEREF _Toc419122303 \h </w:instrText>
            </w:r>
            <w:r w:rsidR="003E079A">
              <w:rPr>
                <w:noProof/>
                <w:webHidden/>
              </w:rPr>
            </w:r>
            <w:r w:rsidR="003E079A">
              <w:rPr>
                <w:noProof/>
                <w:webHidden/>
              </w:rPr>
              <w:fldChar w:fldCharType="separate"/>
            </w:r>
            <w:r w:rsidR="00640E8E">
              <w:rPr>
                <w:noProof/>
                <w:webHidden/>
              </w:rPr>
              <w:t>16</w:t>
            </w:r>
            <w:r w:rsidR="003E079A">
              <w:rPr>
                <w:noProof/>
                <w:webHidden/>
              </w:rPr>
              <w:fldChar w:fldCharType="end"/>
            </w:r>
          </w:hyperlink>
        </w:p>
        <w:p w14:paraId="7A20880C" w14:textId="77777777" w:rsidR="003E079A" w:rsidRDefault="003A489B">
          <w:pPr>
            <w:pStyle w:val="TOC3"/>
            <w:tabs>
              <w:tab w:val="left" w:pos="1320"/>
              <w:tab w:val="right" w:leader="dot" w:pos="8630"/>
            </w:tabs>
            <w:rPr>
              <w:rFonts w:eastAsiaTheme="minorEastAsia" w:cstheme="minorBidi"/>
              <w:noProof/>
              <w:sz w:val="22"/>
              <w:szCs w:val="22"/>
            </w:rPr>
          </w:pPr>
          <w:hyperlink w:anchor="_Toc419122304" w:history="1">
            <w:r w:rsidR="003E079A" w:rsidRPr="00681E5A">
              <w:rPr>
                <w:rStyle w:val="Hyperlink"/>
                <w:noProof/>
              </w:rPr>
              <w:t>3.2.2</w:t>
            </w:r>
            <w:r w:rsidR="003E079A">
              <w:rPr>
                <w:rFonts w:eastAsiaTheme="minorEastAsia" w:cstheme="minorBidi"/>
                <w:noProof/>
                <w:sz w:val="22"/>
                <w:szCs w:val="22"/>
              </w:rPr>
              <w:tab/>
            </w:r>
            <w:r w:rsidR="003E079A" w:rsidRPr="00681E5A">
              <w:rPr>
                <w:rStyle w:val="Hyperlink"/>
                <w:noProof/>
              </w:rPr>
              <w:t>AffectedSoftwareType Class</w:t>
            </w:r>
            <w:r w:rsidR="003E079A">
              <w:rPr>
                <w:noProof/>
                <w:webHidden/>
              </w:rPr>
              <w:tab/>
            </w:r>
            <w:r w:rsidR="003E079A">
              <w:rPr>
                <w:noProof/>
                <w:webHidden/>
              </w:rPr>
              <w:fldChar w:fldCharType="begin"/>
            </w:r>
            <w:r w:rsidR="003E079A">
              <w:rPr>
                <w:noProof/>
                <w:webHidden/>
              </w:rPr>
              <w:instrText xml:space="preserve"> PAGEREF _Toc419122304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4D10353C" w14:textId="77777777" w:rsidR="003E079A" w:rsidRDefault="003A489B">
          <w:pPr>
            <w:pStyle w:val="TOC2"/>
            <w:tabs>
              <w:tab w:val="left" w:pos="880"/>
              <w:tab w:val="right" w:leader="dot" w:pos="8630"/>
            </w:tabs>
            <w:rPr>
              <w:rFonts w:eastAsiaTheme="minorEastAsia" w:cstheme="minorBidi"/>
              <w:noProof/>
              <w:sz w:val="22"/>
              <w:szCs w:val="22"/>
            </w:rPr>
          </w:pPr>
          <w:hyperlink w:anchor="_Toc419122305" w:history="1">
            <w:r w:rsidR="003E079A" w:rsidRPr="00681E5A">
              <w:rPr>
                <w:rStyle w:val="Hyperlink"/>
                <w:noProof/>
              </w:rPr>
              <w:t>3.3</w:t>
            </w:r>
            <w:r w:rsidR="003E079A">
              <w:rPr>
                <w:rFonts w:eastAsiaTheme="minorEastAsia" w:cstheme="minorBidi"/>
                <w:noProof/>
                <w:sz w:val="22"/>
                <w:szCs w:val="22"/>
              </w:rPr>
              <w:tab/>
            </w:r>
            <w:r w:rsidR="003E079A" w:rsidRPr="00681E5A">
              <w:rPr>
                <w:rStyle w:val="Hyperlink"/>
                <w:noProof/>
              </w:rPr>
              <w:t>WeaknessType Class</w:t>
            </w:r>
            <w:r w:rsidR="003E079A">
              <w:rPr>
                <w:noProof/>
                <w:webHidden/>
              </w:rPr>
              <w:tab/>
            </w:r>
            <w:r w:rsidR="003E079A">
              <w:rPr>
                <w:noProof/>
                <w:webHidden/>
              </w:rPr>
              <w:fldChar w:fldCharType="begin"/>
            </w:r>
            <w:r w:rsidR="003E079A">
              <w:rPr>
                <w:noProof/>
                <w:webHidden/>
              </w:rPr>
              <w:instrText xml:space="preserve"> PAGEREF _Toc419122305 \h </w:instrText>
            </w:r>
            <w:r w:rsidR="003E079A">
              <w:rPr>
                <w:noProof/>
                <w:webHidden/>
              </w:rPr>
            </w:r>
            <w:r w:rsidR="003E079A">
              <w:rPr>
                <w:noProof/>
                <w:webHidden/>
              </w:rPr>
              <w:fldChar w:fldCharType="separate"/>
            </w:r>
            <w:r w:rsidR="00640E8E">
              <w:rPr>
                <w:noProof/>
                <w:webHidden/>
              </w:rPr>
              <w:t>17</w:t>
            </w:r>
            <w:r w:rsidR="003E079A">
              <w:rPr>
                <w:noProof/>
                <w:webHidden/>
              </w:rPr>
              <w:fldChar w:fldCharType="end"/>
            </w:r>
          </w:hyperlink>
        </w:p>
        <w:p w14:paraId="01D728D3" w14:textId="77777777" w:rsidR="003E079A" w:rsidRDefault="003A489B">
          <w:pPr>
            <w:pStyle w:val="TOC2"/>
            <w:tabs>
              <w:tab w:val="left" w:pos="880"/>
              <w:tab w:val="right" w:leader="dot" w:pos="8630"/>
            </w:tabs>
            <w:rPr>
              <w:rFonts w:eastAsiaTheme="minorEastAsia" w:cstheme="minorBidi"/>
              <w:noProof/>
              <w:sz w:val="22"/>
              <w:szCs w:val="22"/>
            </w:rPr>
          </w:pPr>
          <w:hyperlink w:anchor="_Toc419122306" w:history="1">
            <w:r w:rsidR="003E079A" w:rsidRPr="00681E5A">
              <w:rPr>
                <w:rStyle w:val="Hyperlink"/>
                <w:noProof/>
              </w:rPr>
              <w:t>3.4</w:t>
            </w:r>
            <w:r w:rsidR="003E079A">
              <w:rPr>
                <w:rFonts w:eastAsiaTheme="minorEastAsia" w:cstheme="minorBidi"/>
                <w:noProof/>
                <w:sz w:val="22"/>
                <w:szCs w:val="22"/>
              </w:rPr>
              <w:tab/>
            </w:r>
            <w:r w:rsidR="003E079A" w:rsidRPr="00681E5A">
              <w:rPr>
                <w:rStyle w:val="Hyperlink"/>
                <w:noProof/>
              </w:rPr>
              <w:t>ConfigurationType Class</w:t>
            </w:r>
            <w:r w:rsidR="003E079A">
              <w:rPr>
                <w:noProof/>
                <w:webHidden/>
              </w:rPr>
              <w:tab/>
            </w:r>
            <w:r w:rsidR="003E079A">
              <w:rPr>
                <w:noProof/>
                <w:webHidden/>
              </w:rPr>
              <w:fldChar w:fldCharType="begin"/>
            </w:r>
            <w:r w:rsidR="003E079A">
              <w:rPr>
                <w:noProof/>
                <w:webHidden/>
              </w:rPr>
              <w:instrText xml:space="preserve"> PAGEREF _Toc419122306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645DAF4" w14:textId="77777777" w:rsidR="003E079A" w:rsidRDefault="003A489B">
          <w:pPr>
            <w:pStyle w:val="TOC2"/>
            <w:tabs>
              <w:tab w:val="left" w:pos="880"/>
              <w:tab w:val="right" w:leader="dot" w:pos="8630"/>
            </w:tabs>
            <w:rPr>
              <w:rFonts w:eastAsiaTheme="minorEastAsia" w:cstheme="minorBidi"/>
              <w:noProof/>
              <w:sz w:val="22"/>
              <w:szCs w:val="22"/>
            </w:rPr>
          </w:pPr>
          <w:hyperlink w:anchor="_Toc419122307" w:history="1">
            <w:r w:rsidR="003E079A" w:rsidRPr="00681E5A">
              <w:rPr>
                <w:rStyle w:val="Hyperlink"/>
                <w:noProof/>
              </w:rPr>
              <w:t>3.5</w:t>
            </w:r>
            <w:r w:rsidR="003E079A">
              <w:rPr>
                <w:rFonts w:eastAsiaTheme="minorEastAsia" w:cstheme="minorBidi"/>
                <w:noProof/>
                <w:sz w:val="22"/>
                <w:szCs w:val="22"/>
              </w:rPr>
              <w:tab/>
            </w:r>
            <w:r w:rsidR="003E079A" w:rsidRPr="00681E5A">
              <w:rPr>
                <w:rStyle w:val="Hyperlink"/>
                <w:noProof/>
              </w:rPr>
              <w:t>PotentialCOAsType Class</w:t>
            </w:r>
            <w:r w:rsidR="003E079A">
              <w:rPr>
                <w:noProof/>
                <w:webHidden/>
              </w:rPr>
              <w:tab/>
            </w:r>
            <w:r w:rsidR="003E079A">
              <w:rPr>
                <w:noProof/>
                <w:webHidden/>
              </w:rPr>
              <w:fldChar w:fldCharType="begin"/>
            </w:r>
            <w:r w:rsidR="003E079A">
              <w:rPr>
                <w:noProof/>
                <w:webHidden/>
              </w:rPr>
              <w:instrText xml:space="preserve"> PAGEREF _Toc419122307 \h </w:instrText>
            </w:r>
            <w:r w:rsidR="003E079A">
              <w:rPr>
                <w:noProof/>
                <w:webHidden/>
              </w:rPr>
            </w:r>
            <w:r w:rsidR="003E079A">
              <w:rPr>
                <w:noProof/>
                <w:webHidden/>
              </w:rPr>
              <w:fldChar w:fldCharType="separate"/>
            </w:r>
            <w:r w:rsidR="00640E8E">
              <w:rPr>
                <w:noProof/>
                <w:webHidden/>
              </w:rPr>
              <w:t>18</w:t>
            </w:r>
            <w:r w:rsidR="003E079A">
              <w:rPr>
                <w:noProof/>
                <w:webHidden/>
              </w:rPr>
              <w:fldChar w:fldCharType="end"/>
            </w:r>
          </w:hyperlink>
        </w:p>
        <w:p w14:paraId="30ED943E" w14:textId="77777777" w:rsidR="003E079A" w:rsidRDefault="003A489B">
          <w:pPr>
            <w:pStyle w:val="TOC2"/>
            <w:tabs>
              <w:tab w:val="left" w:pos="880"/>
              <w:tab w:val="right" w:leader="dot" w:pos="8630"/>
            </w:tabs>
            <w:rPr>
              <w:rFonts w:eastAsiaTheme="minorEastAsia" w:cstheme="minorBidi"/>
              <w:noProof/>
              <w:sz w:val="22"/>
              <w:szCs w:val="22"/>
            </w:rPr>
          </w:pPr>
          <w:hyperlink w:anchor="_Toc419122308" w:history="1">
            <w:r w:rsidR="003E079A" w:rsidRPr="00681E5A">
              <w:rPr>
                <w:rStyle w:val="Hyperlink"/>
                <w:noProof/>
              </w:rPr>
              <w:t>3.6</w:t>
            </w:r>
            <w:r w:rsidR="003E079A">
              <w:rPr>
                <w:rFonts w:eastAsiaTheme="minorEastAsia" w:cstheme="minorBidi"/>
                <w:noProof/>
                <w:sz w:val="22"/>
                <w:szCs w:val="22"/>
              </w:rPr>
              <w:tab/>
            </w:r>
            <w:r w:rsidR="003E079A" w:rsidRPr="00681E5A">
              <w:rPr>
                <w:rStyle w:val="Hyperlink"/>
                <w:noProof/>
              </w:rPr>
              <w:t>RelatedExploitTargetsType Class</w:t>
            </w:r>
            <w:r w:rsidR="003E079A">
              <w:rPr>
                <w:noProof/>
                <w:webHidden/>
              </w:rPr>
              <w:tab/>
            </w:r>
            <w:r w:rsidR="003E079A">
              <w:rPr>
                <w:noProof/>
                <w:webHidden/>
              </w:rPr>
              <w:fldChar w:fldCharType="begin"/>
            </w:r>
            <w:r w:rsidR="003E079A">
              <w:rPr>
                <w:noProof/>
                <w:webHidden/>
              </w:rPr>
              <w:instrText xml:space="preserve"> PAGEREF _Toc419122308 \h </w:instrText>
            </w:r>
            <w:r w:rsidR="003E079A">
              <w:rPr>
                <w:noProof/>
                <w:webHidden/>
              </w:rPr>
            </w:r>
            <w:r w:rsidR="003E079A">
              <w:rPr>
                <w:noProof/>
                <w:webHidden/>
              </w:rPr>
              <w:fldChar w:fldCharType="separate"/>
            </w:r>
            <w:r w:rsidR="00640E8E">
              <w:rPr>
                <w:noProof/>
                <w:webHidden/>
              </w:rPr>
              <w:t>20</w:t>
            </w:r>
            <w:r w:rsidR="003E079A">
              <w:rPr>
                <w:noProof/>
                <w:webHidden/>
              </w:rPr>
              <w:fldChar w:fldCharType="end"/>
            </w:r>
          </w:hyperlink>
        </w:p>
        <w:p w14:paraId="255CD196" w14:textId="77777777" w:rsidR="003E079A" w:rsidRDefault="003A489B">
          <w:pPr>
            <w:pStyle w:val="TOC1"/>
            <w:rPr>
              <w:rFonts w:eastAsiaTheme="minorEastAsia" w:cstheme="minorBidi"/>
              <w:b w:val="0"/>
              <w:sz w:val="22"/>
              <w:szCs w:val="22"/>
            </w:rPr>
          </w:pPr>
          <w:hyperlink w:anchor="_Toc419122309" w:history="1">
            <w:r w:rsidR="003E079A" w:rsidRPr="00681E5A">
              <w:rPr>
                <w:rStyle w:val="Hyperlink"/>
              </w:rPr>
              <w:t>References</w:t>
            </w:r>
            <w:r w:rsidR="003E079A">
              <w:rPr>
                <w:webHidden/>
              </w:rPr>
              <w:tab/>
            </w:r>
            <w:r w:rsidR="003E079A">
              <w:rPr>
                <w:webHidden/>
              </w:rPr>
              <w:fldChar w:fldCharType="begin"/>
            </w:r>
            <w:r w:rsidR="003E079A">
              <w:rPr>
                <w:webHidden/>
              </w:rPr>
              <w:instrText xml:space="preserve"> PAGEREF _Toc419122309 \h </w:instrText>
            </w:r>
            <w:r w:rsidR="003E079A">
              <w:rPr>
                <w:webHidden/>
              </w:rPr>
            </w:r>
            <w:r w:rsidR="003E079A">
              <w:rPr>
                <w:webHidden/>
              </w:rPr>
              <w:fldChar w:fldCharType="separate"/>
            </w:r>
            <w:r w:rsidR="00640E8E">
              <w:rPr>
                <w:webHidden/>
              </w:rPr>
              <w:t>22</w:t>
            </w:r>
            <w:r w:rsidR="003E079A">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9122282"/>
      <w:bookmarkEnd w:id="1"/>
      <w:bookmarkEnd w:id="0"/>
      <w:r>
        <w:lastRenderedPageBreak/>
        <w:t>Introduction</w:t>
      </w:r>
      <w:bookmarkEnd w:id="2"/>
    </w:p>
    <w:p w14:paraId="2E45D0D9" w14:textId="0F0101C4"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0B02FC">
        <w:t xml:space="preserve">top-level </w:t>
      </w:r>
      <w:r>
        <w:t xml:space="preserve">component data models:  </w:t>
      </w:r>
      <w:r w:rsidRPr="00FC6DFE">
        <w:t>Observable</w:t>
      </w:r>
      <w:r w:rsidR="00EA5E11">
        <w:rPr>
          <w:rStyle w:val="FootnoteReference"/>
        </w:rPr>
        <w:footnoteReference w:id="4"/>
      </w:r>
      <w:r w:rsidRPr="00FC6DFE">
        <w:t xml:space="preserv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4FF8C7C3" w:rsidR="00592D52" w:rsidRDefault="00842C08" w:rsidP="007070E3">
      <w:pPr>
        <w:spacing w:after="240"/>
      </w:pPr>
      <w:r>
        <w:t xml:space="preserve">In Section </w:t>
      </w:r>
      <w:r>
        <w:fldChar w:fldCharType="begin"/>
      </w:r>
      <w:r>
        <w:instrText xml:space="preserve"> REF _Ref412622367 \r \h </w:instrText>
      </w:r>
      <w:r>
        <w:fldChar w:fldCharType="separate"/>
      </w:r>
      <w:r w:rsidR="00640E8E">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640E8E">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640E8E">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640E8E">
        <w:t>3</w:t>
      </w:r>
      <w:r w:rsidR="00A70778">
        <w:fldChar w:fldCharType="end"/>
      </w:r>
      <w:r>
        <w:t>.  References are provided in the final section.</w:t>
      </w:r>
    </w:p>
    <w:p w14:paraId="6837D6E6" w14:textId="77777777" w:rsidR="007F3CB9" w:rsidRPr="002D7380" w:rsidRDefault="007F3CB9" w:rsidP="007F3CB9">
      <w:pPr>
        <w:pStyle w:val="Heading2"/>
      </w:pPr>
      <w:bookmarkStart w:id="3" w:name="_Toc412205405"/>
      <w:bookmarkStart w:id="4" w:name="_Ref412300941"/>
      <w:bookmarkStart w:id="5" w:name="_Ref412622367"/>
      <w:bookmarkStart w:id="6" w:name="_Toc412713430"/>
      <w:bookmarkStart w:id="7" w:name="_Ref414276164"/>
      <w:bookmarkStart w:id="8" w:name="_Toc419122283"/>
      <w:bookmarkStart w:id="9" w:name="_Ref394437867"/>
      <w:bookmarkStart w:id="10" w:name="_Ref388860303"/>
      <w:bookmarkStart w:id="11" w:name="_Toc389570601"/>
      <w:bookmarkStart w:id="12" w:name="_Toc389581071"/>
      <w:r>
        <w:t>STIX Specification Documents</w:t>
      </w:r>
      <w:bookmarkEnd w:id="3"/>
      <w:bookmarkEnd w:id="4"/>
      <w:bookmarkEnd w:id="5"/>
      <w:bookmarkEnd w:id="6"/>
      <w:bookmarkEnd w:id="7"/>
      <w:bookmarkEnd w:id="8"/>
    </w:p>
    <w:p w14:paraId="2AAFC6DB" w14:textId="60186090" w:rsidR="00773C20" w:rsidRDefault="00773C20" w:rsidP="00773C20">
      <w:pPr>
        <w:autoSpaceDE w:val="0"/>
        <w:autoSpaceDN w:val="0"/>
        <w:adjustRightInd w:val="0"/>
        <w:spacing w:after="240"/>
      </w:pPr>
      <w:r>
        <w:t xml:space="preserve">The STIX specification </w:t>
      </w:r>
      <w:r w:rsidR="0060370C">
        <w:t>consists of</w:t>
      </w:r>
      <w:r>
        <w:t xml:space="preserve"> a formal UML model and a set of textual specification documents that explain the UML model.  Specification documents have been written for each of the </w:t>
      </w:r>
      <w:r w:rsidR="0060370C">
        <w:t xml:space="preserve">key </w:t>
      </w:r>
      <w:r>
        <w:t xml:space="preserve">individual data models that compose the full STIX UML model.  </w:t>
      </w:r>
    </w:p>
    <w:p w14:paraId="346C8385" w14:textId="223D50B4"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60370C">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640E8E" w:rsidRPr="00A70778">
        <w:t xml:space="preserve">Figure </w:t>
      </w:r>
      <w:r w:rsidR="00640E8E">
        <w:rPr>
          <w:noProof/>
        </w:rPr>
        <w:t>1</w:t>
      </w:r>
      <w:r w:rsidR="00640E8E" w:rsidRPr="00A70778">
        <w:noBreakHyphen/>
      </w:r>
      <w:r w:rsidR="00640E8E">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640E8E">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840926" cy="190121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21A77F8" w14:textId="13DAD268" w:rsidR="007F3CB9" w:rsidRPr="0026368D" w:rsidRDefault="00A70778" w:rsidP="00A70778">
      <w:pPr>
        <w:pStyle w:val="Caption"/>
        <w:jc w:val="center"/>
        <w:rPr>
          <w:color w:val="auto"/>
        </w:rPr>
      </w:pPr>
      <w:bookmarkStart w:id="13"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640E8E">
        <w:rPr>
          <w:noProof/>
          <w:color w:val="auto"/>
          <w:sz w:val="24"/>
          <w:szCs w:val="24"/>
        </w:rPr>
        <w:t>1</w:t>
      </w:r>
      <w:r w:rsidRPr="00A70778">
        <w:rPr>
          <w:color w:val="auto"/>
          <w:sz w:val="24"/>
          <w:szCs w:val="24"/>
        </w:rPr>
        <w:fldChar w:fldCharType="end"/>
      </w:r>
      <w:bookmarkEnd w:id="13"/>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4" w:name="_Ref417297460"/>
      <w:bookmarkStart w:id="15" w:name="_Toc419122284"/>
      <w:r>
        <w:t>Document Conventions</w:t>
      </w:r>
      <w:bookmarkEnd w:id="9"/>
      <w:bookmarkEnd w:id="14"/>
      <w:bookmarkEnd w:id="15"/>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6" w:name="_Toc389570602"/>
      <w:bookmarkStart w:id="17" w:name="_Toc389581072"/>
      <w:bookmarkStart w:id="18" w:name="_Toc419122285"/>
      <w:r>
        <w:t>Keyw</w:t>
      </w:r>
      <w:r w:rsidR="00D76C82">
        <w:t>ords</w:t>
      </w:r>
      <w:bookmarkEnd w:id="16"/>
      <w:bookmarkEnd w:id="17"/>
      <w:bookmarkEnd w:id="18"/>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19" w:name="_Toc389570603"/>
      <w:bookmarkStart w:id="20" w:name="_Toc389581073"/>
      <w:bookmarkStart w:id="21" w:name="_Toc419122286"/>
      <w:r>
        <w:t>Fonts</w:t>
      </w:r>
      <w:bookmarkEnd w:id="19"/>
      <w:bookmarkEnd w:id="20"/>
      <w:bookmarkEnd w:id="21"/>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2" w:name="_Ref394486021"/>
      <w:bookmarkStart w:id="23" w:name="_Toc419122287"/>
      <w:r>
        <w:t>UML Package</w:t>
      </w:r>
      <w:r w:rsidR="00135856">
        <w:t xml:space="preserve"> Reference</w:t>
      </w:r>
      <w:r w:rsidR="00AC1C37">
        <w:t>s</w:t>
      </w:r>
      <w:bookmarkEnd w:id="22"/>
      <w:bookmarkEnd w:id="23"/>
    </w:p>
    <w:p w14:paraId="2FE09639" w14:textId="6B9F3F89"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w:t>
      </w:r>
      <w:r w:rsidR="006C2B4B" w:rsidRPr="00434BA0">
        <w:t>along with the associated prefix notations, descriptions, examples</w:t>
      </w:r>
      <w:r w:rsidR="006C2B4B">
        <w:t>.</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4" w:name="_Toc389570605"/>
      <w:bookmarkStart w:id="25" w:name="_Toc389581075"/>
      <w:bookmarkStart w:id="26" w:name="_Toc419122288"/>
      <w:r w:rsidRPr="00904E02">
        <w:t>UML Diagrams</w:t>
      </w:r>
      <w:bookmarkEnd w:id="24"/>
      <w:bookmarkEnd w:id="25"/>
      <w:bookmarkEnd w:id="26"/>
    </w:p>
    <w:p w14:paraId="4EB40AA6" w14:textId="3A6A2EF9" w:rsidR="00E330E9" w:rsidRDefault="00E330E9" w:rsidP="00E330E9">
      <w:pPr>
        <w:spacing w:after="240"/>
      </w:pPr>
      <w:bookmarkStart w:id="27" w:name="_Toc389570606"/>
      <w:bookmarkStart w:id="28" w:name="_Toc389581076"/>
      <w:bookmarkStart w:id="29"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757188" w:rsidRPr="00434BA0">
        <w:t>Other diagrams that are included correspond to classes that specialize a superclass and abstract or generalized classes that are extended by one or more subclasses</w:t>
      </w:r>
      <w:r>
        <w:t>.</w:t>
      </w:r>
    </w:p>
    <w:p w14:paraId="6E781E6C" w14:textId="7E65B0CF" w:rsidR="00932B92" w:rsidRDefault="00E330E9" w:rsidP="00E330E9">
      <w:pPr>
        <w:spacing w:after="240"/>
      </w:pPr>
      <w:r>
        <w:t xml:space="preserve">In UML diagrams, classes are often presented with their attributes elided, to avoid clutter.  The fully described class can usually be found in a related diagram.  </w:t>
      </w:r>
      <w:r w:rsidR="006F19E5">
        <w:t>A class presented with an empty section at the bottom of the icon indicates that there are no attributes other than those that are visualized using associations.</w:t>
      </w:r>
    </w:p>
    <w:p w14:paraId="1133F7E1" w14:textId="77777777" w:rsidR="00932B92" w:rsidRDefault="00932B92" w:rsidP="00932B92">
      <w:pPr>
        <w:pStyle w:val="Heading4"/>
      </w:pPr>
      <w:bookmarkStart w:id="30" w:name="_Toc398242026"/>
      <w:bookmarkStart w:id="31" w:name="_Toc419122289"/>
      <w:r>
        <w:t>Class Properties</w:t>
      </w:r>
      <w:bookmarkEnd w:id="30"/>
      <w:bookmarkEnd w:id="31"/>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w:t>
      </w:r>
      <w:r>
        <w:lastRenderedPageBreak/>
        <w:t>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2" w:name="_Toc398242027"/>
      <w:bookmarkStart w:id="33" w:name="_Toc419122290"/>
      <w:r>
        <w:t>Diagram Icons and Arrow Types</w:t>
      </w:r>
      <w:bookmarkEnd w:id="32"/>
      <w:bookmarkEnd w:id="33"/>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640E8E" w:rsidRPr="00305518">
        <w:t xml:space="preserve">Table </w:t>
      </w:r>
      <w:r w:rsidR="00640E8E">
        <w:rPr>
          <w:noProof/>
        </w:rPr>
        <w:t>1</w:t>
      </w:r>
      <w:r w:rsidR="00640E8E">
        <w:noBreakHyphen/>
      </w:r>
      <w:r w:rsidR="00640E8E">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4"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640E8E">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640E8E">
        <w:rPr>
          <w:noProof/>
          <w:color w:val="auto"/>
          <w:sz w:val="24"/>
        </w:rPr>
        <w:t>1</w:t>
      </w:r>
      <w:r>
        <w:rPr>
          <w:color w:val="auto"/>
          <w:sz w:val="24"/>
        </w:rPr>
        <w:fldChar w:fldCharType="end"/>
      </w:r>
      <w:bookmarkEnd w:id="34"/>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21" o:title=""/>
                </v:shape>
                <o:OLEObject Type="Embed" ProgID="PBrush" ShapeID="_x0000_i1025" DrawAspect="Content" ObjectID="_1495390034" r:id="rId22"/>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3.9pt;height:13.9pt" o:ole="">
                  <v:imagedata r:id="rId24" o:title=""/>
                </v:shape>
                <o:OLEObject Type="Embed" ProgID="PBrush" ShapeID="_x0000_i1026" DrawAspect="Content" ObjectID="_1495390035" r:id="rId25"/>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3.9pt;height:13.9pt" o:ole="">
                  <v:imagedata r:id="rId26" o:title=""/>
                </v:shape>
                <o:OLEObject Type="Embed" ProgID="PBrush" ShapeID="_x0000_i1027" DrawAspect="Content" ObjectID="_1495390036" r:id="rId27"/>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721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0B070D"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8.1pt;height:35.55pt" o:ole="">
                  <v:imagedata r:id="rId28" o:title=""/>
                </v:shape>
                <o:OLEObject Type="Embed" ProgID="PBrush" ShapeID="_x0000_i1028" DrawAspect="Content" ObjectID="_1495390037" r:id="rId29"/>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5" w:name="_Ref397935245"/>
      <w:bookmarkStart w:id="36" w:name="_Toc398242028"/>
      <w:bookmarkStart w:id="37" w:name="_Toc419122291"/>
      <w:r>
        <w:t>Color Coding</w:t>
      </w:r>
      <w:bookmarkEnd w:id="35"/>
      <w:bookmarkEnd w:id="36"/>
      <w:bookmarkEnd w:id="37"/>
    </w:p>
    <w:p w14:paraId="39246561" w14:textId="1012C3C8" w:rsidR="00D03821" w:rsidRDefault="00856CF5" w:rsidP="00914B2B">
      <w:r>
        <w:t xml:space="preserve">The shapes of the UML diagrams are color coded to indicate the data model associated with a class.  The colors used in the </w:t>
      </w:r>
      <w:r w:rsidR="006A1F92">
        <w:t>Exploit Target</w:t>
      </w:r>
      <w:r>
        <w:t xml:space="preserve"> specification are illustrated via exemplars in</w:t>
      </w:r>
      <w:r>
        <w:t xml:space="preserve"> </w:t>
      </w:r>
      <w:r w:rsidR="00D256CE">
        <w:fldChar w:fldCharType="begin"/>
      </w:r>
      <w:r w:rsidR="00D256CE">
        <w:instrText xml:space="preserve"> REF _Ref417308199 \h </w:instrText>
      </w:r>
      <w:r w:rsidR="00D256CE">
        <w:fldChar w:fldCharType="separate"/>
      </w:r>
      <w:r w:rsidR="00640E8E" w:rsidRPr="000C4865">
        <w:t xml:space="preserve">Figure </w:t>
      </w:r>
      <w:r w:rsidR="00640E8E">
        <w:rPr>
          <w:noProof/>
        </w:rPr>
        <w:t>1</w:t>
      </w:r>
      <w:r w:rsidR="00640E8E">
        <w:noBreakHyphen/>
      </w:r>
      <w:r w:rsidR="00640E8E">
        <w:rPr>
          <w:noProof/>
        </w:rPr>
        <w:t>2</w:t>
      </w:r>
      <w:r w:rsidR="00D256CE">
        <w:fldChar w:fldCharType="end"/>
      </w:r>
      <w:r w:rsidR="00D256CE">
        <w:t>.</w:t>
      </w:r>
      <w:bookmarkStart w:id="38" w:name="_Ref397676401"/>
    </w:p>
    <w:p w14:paraId="68E463E0" w14:textId="2217109E" w:rsidR="00914B2B" w:rsidRPr="00914B2B" w:rsidRDefault="00914B2B" w:rsidP="00914B2B">
      <w:r w:rsidRPr="00914B2B">
        <w:rPr>
          <w:noProof/>
        </w:rPr>
        <w:drawing>
          <wp:inline distT="0" distB="0" distL="0" distR="0" wp14:anchorId="69E53C09" wp14:editId="32B8AF8E">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57850" cy="738505"/>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39"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2</w:t>
      </w:r>
      <w:r w:rsidR="00A70778">
        <w:rPr>
          <w:color w:val="auto"/>
          <w:sz w:val="24"/>
        </w:rPr>
        <w:fldChar w:fldCharType="end"/>
      </w:r>
      <w:bookmarkEnd w:id="38"/>
      <w:bookmarkEnd w:id="39"/>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0" w:name="_Toc419122292"/>
      <w:r>
        <w:lastRenderedPageBreak/>
        <w:t>Property Table Notation</w:t>
      </w:r>
      <w:bookmarkEnd w:id="27"/>
      <w:bookmarkEnd w:id="28"/>
      <w:bookmarkEnd w:id="29"/>
      <w:bookmarkEnd w:id="40"/>
    </w:p>
    <w:p w14:paraId="64C2EBCA" w14:textId="20CABF9B" w:rsidR="00E330E9" w:rsidRDefault="00E330E9" w:rsidP="007070E3">
      <w:pPr>
        <w:spacing w:after="240"/>
      </w:pPr>
      <w:bookmarkStart w:id="41"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640E8E">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640E8E">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2" w:name="_Toc412634016"/>
      <w:bookmarkStart w:id="43" w:name="_Toc412793151"/>
      <w:bookmarkStart w:id="44" w:name="_Toc419122293"/>
      <w:r>
        <w:t>Property and Class Descriptions</w:t>
      </w:r>
      <w:bookmarkEnd w:id="42"/>
      <w:bookmarkEnd w:id="43"/>
      <w:bookmarkEnd w:id="44"/>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5" w:name="_Ref389860108"/>
      <w:bookmarkStart w:id="46" w:name="_Ref391367621"/>
      <w:bookmarkEnd w:id="10"/>
      <w:bookmarkEnd w:id="11"/>
      <w:bookmarkEnd w:id="12"/>
      <w:bookmarkEnd w:id="41"/>
      <w:r>
        <w:br w:type="page"/>
      </w:r>
    </w:p>
    <w:p w14:paraId="15A3D861" w14:textId="4F1B99FA" w:rsidR="00E941F1" w:rsidRDefault="00E941F1" w:rsidP="008D1EA2">
      <w:pPr>
        <w:pStyle w:val="Heading1"/>
      </w:pPr>
      <w:bookmarkStart w:id="47" w:name="_Ref417297488"/>
      <w:bookmarkStart w:id="48" w:name="_Toc419122294"/>
      <w:bookmarkStart w:id="49" w:name="_Ref395082039"/>
      <w:r>
        <w:lastRenderedPageBreak/>
        <w:t>Background Information</w:t>
      </w:r>
      <w:bookmarkEnd w:id="47"/>
      <w:bookmarkEnd w:id="48"/>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640E8E">
        <w:t>3</w:t>
      </w:r>
      <w:r>
        <w:fldChar w:fldCharType="end"/>
      </w:r>
      <w:r w:rsidR="00E941F1">
        <w:t>.</w:t>
      </w:r>
    </w:p>
    <w:p w14:paraId="67F07548" w14:textId="5FBD517D" w:rsidR="008D1EA2" w:rsidRPr="002D7380" w:rsidRDefault="00BA721C" w:rsidP="00C36F1D">
      <w:pPr>
        <w:pStyle w:val="Heading2"/>
      </w:pPr>
      <w:bookmarkStart w:id="50" w:name="_Toc419122295"/>
      <w:r>
        <w:t>Exploit Target</w:t>
      </w:r>
      <w:r w:rsidR="008D1EA2">
        <w:t xml:space="preserve">-Related </w:t>
      </w:r>
      <w:r w:rsidR="008D1EA2" w:rsidRPr="002D7380">
        <w:t xml:space="preserve">Component </w:t>
      </w:r>
      <w:bookmarkEnd w:id="45"/>
      <w:r w:rsidR="008D1EA2">
        <w:t>Data Models</w:t>
      </w:r>
      <w:bookmarkEnd w:id="46"/>
      <w:bookmarkEnd w:id="49"/>
      <w:bookmarkEnd w:id="50"/>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640E8E">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640E8E" w:rsidRPr="000C4865">
        <w:t xml:space="preserve">Figure </w:t>
      </w:r>
      <w:r w:rsidR="00640E8E">
        <w:rPr>
          <w:noProof/>
        </w:rPr>
        <w:t>2</w:t>
      </w:r>
      <w:r w:rsidR="00640E8E">
        <w:noBreakHyphen/>
      </w:r>
      <w:r w:rsidR="00640E8E">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640E8E">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1">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1"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640E8E">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640E8E">
        <w:rPr>
          <w:noProof/>
          <w:color w:val="auto"/>
          <w:sz w:val="24"/>
        </w:rPr>
        <w:t>1</w:t>
      </w:r>
      <w:r w:rsidR="00A70778">
        <w:rPr>
          <w:color w:val="auto"/>
          <w:sz w:val="24"/>
        </w:rPr>
        <w:fldChar w:fldCharType="end"/>
      </w:r>
      <w:bookmarkEnd w:id="51"/>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2"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2" w:name="_Ref390076669"/>
      <w:bookmarkStart w:id="53"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3"/>
          <w:pgSz w:w="12240" w:h="15840"/>
          <w:pgMar w:top="1440" w:right="1620" w:bottom="1440" w:left="1710" w:header="720" w:footer="720" w:gutter="0"/>
          <w:pgNumType w:start="1"/>
          <w:cols w:space="720"/>
          <w:docGrid w:linePitch="360"/>
        </w:sectPr>
      </w:pPr>
      <w:bookmarkStart w:id="54" w:name="_Ref398290980"/>
    </w:p>
    <w:p w14:paraId="10D9ABFA" w14:textId="674F715D" w:rsidR="00D97BFC" w:rsidRPr="00BF12F0" w:rsidRDefault="00700282" w:rsidP="00A84C70">
      <w:pPr>
        <w:pStyle w:val="Heading1"/>
      </w:pPr>
      <w:bookmarkStart w:id="55" w:name="_Ref413891385"/>
      <w:bookmarkStart w:id="56" w:name="_Toc419122296"/>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2"/>
      <w:bookmarkEnd w:id="53"/>
      <w:bookmarkEnd w:id="54"/>
      <w:bookmarkEnd w:id="55"/>
      <w:bookmarkEnd w:id="56"/>
    </w:p>
    <w:p w14:paraId="17068104" w14:textId="1F5EB872" w:rsidR="00EF0128" w:rsidRDefault="00EF0128" w:rsidP="007070E3">
      <w:pPr>
        <w:spacing w:after="240"/>
      </w:pPr>
      <w:bookmarkStart w:id="57"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00EE16DF" w:rsidRPr="00C36F1D">
        <w:t xml:space="preserve">, as well as the properties of the </w:t>
      </w:r>
      <w:r w:rsidR="00EE16DF" w:rsidRPr="00C36F1D">
        <w:rPr>
          <w:rFonts w:ascii="Courier New" w:hAnsi="Courier New" w:cs="Courier New"/>
        </w:rPr>
        <w:t>ExploitTargetType</w:t>
      </w:r>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640E8E" w:rsidRPr="00640E8E">
        <w:t xml:space="preserve">Figure </w:t>
      </w:r>
      <w:r w:rsidR="00640E8E" w:rsidRPr="00640E8E">
        <w:rPr>
          <w:noProof/>
        </w:rPr>
        <w:t>3</w:t>
      </w:r>
      <w:r w:rsidR="00640E8E" w:rsidRPr="00640E8E">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4">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8"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640E8E">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640E8E">
        <w:rPr>
          <w:b/>
          <w:noProof/>
        </w:rPr>
        <w:t>1</w:t>
      </w:r>
      <w:r w:rsidR="00A70778">
        <w:rPr>
          <w:b/>
        </w:rPr>
        <w:fldChar w:fldCharType="end"/>
      </w:r>
      <w:bookmarkEnd w:id="58"/>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640E8E" w:rsidRPr="00640E8E">
        <w:t xml:space="preserve">Figure </w:t>
      </w:r>
      <w:r w:rsidR="00640E8E" w:rsidRPr="00640E8E">
        <w:rPr>
          <w:noProof/>
        </w:rPr>
        <w:t>3</w:t>
      </w:r>
      <w:r w:rsidR="00640E8E" w:rsidRPr="00640E8E">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640E8E" w:rsidRPr="00C96A2E">
        <w:t xml:space="preserve">Table </w:t>
      </w:r>
      <w:r w:rsidR="00640E8E">
        <w:rPr>
          <w:noProof/>
        </w:rPr>
        <w:t>3</w:t>
      </w:r>
      <w:r w:rsidR="00640E8E">
        <w:noBreakHyphen/>
      </w:r>
      <w:r w:rsidR="00640E8E">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59"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1</w:t>
      </w:r>
      <w:r>
        <w:rPr>
          <w:color w:val="auto"/>
          <w:sz w:val="24"/>
          <w:szCs w:val="24"/>
        </w:rPr>
        <w:fldChar w:fldCharType="end"/>
      </w:r>
      <w:bookmarkEnd w:id="59"/>
      <w:r>
        <w:rPr>
          <w:color w:val="auto"/>
          <w:sz w:val="24"/>
          <w:szCs w:val="24"/>
        </w:rPr>
        <w:t xml:space="preserve">. </w:t>
      </w:r>
      <w:r>
        <w:rPr>
          <w:b w:val="0"/>
          <w:color w:val="auto"/>
          <w:sz w:val="24"/>
          <w:szCs w:val="24"/>
        </w:rPr>
        <w:t xml:space="preserve">Properties of the </w:t>
      </w:r>
      <w:r w:rsidR="00EE16DF">
        <w:rPr>
          <w:rFonts w:ascii="Courier New" w:hAnsi="Courier New" w:cs="Courier New"/>
          <w:b w:val="0"/>
          <w:bCs w:val="0"/>
          <w:color w:val="auto"/>
          <w:sz w:val="24"/>
          <w:szCs w:val="24"/>
        </w:rPr>
        <w:t>ExploitTargetType</w:t>
      </w:r>
      <w:r w:rsidR="00EE16DF" w:rsidRPr="00965AF1">
        <w:rPr>
          <w:rFonts w:cs="Courier New"/>
          <w:b w:val="0"/>
          <w:bCs w:val="0"/>
          <w:color w:val="auto"/>
          <w:sz w:val="24"/>
          <w:szCs w:val="24"/>
        </w:rPr>
        <w:t xml:space="preserve"> </w:t>
      </w:r>
      <w:r>
        <w:rPr>
          <w:b w:val="0"/>
          <w:bCs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513"/>
      </w:tblGrid>
      <w:tr w:rsidR="00A72CB6" w:rsidRPr="00693F21" w14:paraId="1DA7853D" w14:textId="77777777" w:rsidTr="00680B9E">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513"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680B9E">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r>
              <w:rPr>
                <w:rFonts w:ascii="Courier New" w:hAnsi="Courier New" w:cs="Courier New"/>
                <w:sz w:val="20"/>
              </w:rPr>
              <w:t>ExploitTargetVersionType</w:t>
            </w:r>
          </w:p>
        </w:tc>
        <w:tc>
          <w:tcPr>
            <w:tcW w:w="1440" w:type="dxa"/>
            <w:vAlign w:val="center"/>
          </w:tcPr>
          <w:p w14:paraId="52968A9D" w14:textId="43A3953A" w:rsidR="00EE16DF" w:rsidRPr="00E65B09" w:rsidRDefault="00EE16DF" w:rsidP="00EE16DF">
            <w:pPr>
              <w:jc w:val="center"/>
              <w:rPr>
                <w:sz w:val="22"/>
              </w:rPr>
            </w:pPr>
            <w:r>
              <w:rPr>
                <w:sz w:val="22"/>
              </w:rPr>
              <w:t>0..1</w:t>
            </w:r>
          </w:p>
        </w:tc>
        <w:tc>
          <w:tcPr>
            <w:tcW w:w="5513"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680B9E">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4398BD1C" w14:textId="3D3EB991" w:rsidR="00EE16DF" w:rsidRDefault="00EE16DF" w:rsidP="00EE16DF">
            <w:pPr>
              <w:jc w:val="center"/>
              <w:rPr>
                <w:sz w:val="22"/>
              </w:rPr>
            </w:pPr>
            <w:r>
              <w:rPr>
                <w:sz w:val="22"/>
              </w:rPr>
              <w:t>0..1</w:t>
            </w:r>
          </w:p>
        </w:tc>
        <w:tc>
          <w:tcPr>
            <w:tcW w:w="5513"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680B9E">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0BFB32E5" w14:textId="5C9493C4" w:rsidR="00EE16DF" w:rsidRDefault="00EE16DF" w:rsidP="00EE16DF">
            <w:pPr>
              <w:jc w:val="center"/>
              <w:rPr>
                <w:sz w:val="22"/>
              </w:rPr>
            </w:pPr>
            <w:r>
              <w:rPr>
                <w:sz w:val="22"/>
              </w:rPr>
              <w:t>0..1</w:t>
            </w:r>
          </w:p>
        </w:tc>
        <w:tc>
          <w:tcPr>
            <w:tcW w:w="5513"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r w:rsidRPr="00A94A8C">
              <w:rPr>
                <w:rFonts w:ascii="Courier New" w:hAnsi="Courier New" w:cs="Courier New"/>
                <w:color w:val="000000"/>
                <w:sz w:val="22"/>
                <w:szCs w:val="22"/>
              </w:rPr>
              <w:t>structuring_format</w:t>
            </w:r>
            <w:r w:rsidRPr="00A94A8C">
              <w:rPr>
                <w:rFonts w:ascii="Calibri" w:hAnsi="Calibri"/>
                <w:color w:val="000000"/>
                <w:sz w:val="22"/>
                <w:szCs w:val="22"/>
              </w:rPr>
              <w:t xml:space="preserve"> property of the </w:t>
            </w:r>
            <w:r w:rsidRPr="00A94A8C">
              <w:rPr>
                <w:rFonts w:ascii="Courier New" w:hAnsi="Courier New" w:cs="Courier New"/>
                <w:color w:val="000000"/>
                <w:sz w:val="22"/>
                <w:szCs w:val="22"/>
              </w:rPr>
              <w:t>StructuredTextType</w:t>
            </w:r>
            <w:r w:rsidRPr="00A94A8C">
              <w:rPr>
                <w:rFonts w:ascii="Calibri" w:hAnsi="Calibri"/>
                <w:color w:val="000000"/>
                <w:sz w:val="22"/>
                <w:szCs w:val="22"/>
              </w:rPr>
              <w:t xml:space="preserve"> class.</w:t>
            </w:r>
          </w:p>
        </w:tc>
      </w:tr>
      <w:tr w:rsidR="00EE16DF" w14:paraId="0C246EFE" w14:textId="77777777" w:rsidTr="00680B9E">
        <w:trPr>
          <w:trHeight w:val="547"/>
        </w:trPr>
        <w:tc>
          <w:tcPr>
            <w:tcW w:w="2515" w:type="dxa"/>
            <w:vAlign w:val="center"/>
          </w:tcPr>
          <w:p w14:paraId="0BBC1FE1" w14:textId="4EADF46B" w:rsidR="00EE16DF" w:rsidRDefault="00EE16DF" w:rsidP="00EE16DF">
            <w:pPr>
              <w:rPr>
                <w:b/>
                <w:sz w:val="22"/>
              </w:rPr>
            </w:pPr>
            <w:r>
              <w:rPr>
                <w:b/>
                <w:sz w:val="22"/>
              </w:rPr>
              <w:t>Short_Description</w:t>
            </w:r>
          </w:p>
        </w:tc>
        <w:tc>
          <w:tcPr>
            <w:tcW w:w="3780" w:type="dxa"/>
            <w:vAlign w:val="center"/>
          </w:tcPr>
          <w:p w14:paraId="4B1FC18C" w14:textId="02868956" w:rsidR="00EE16DF" w:rsidRDefault="00EE16DF" w:rsidP="00EE16DF">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C50E44A" w14:textId="08E0B6DC" w:rsidR="00EE16DF" w:rsidRDefault="00A25678" w:rsidP="00EE16DF">
            <w:pPr>
              <w:jc w:val="center"/>
              <w:rPr>
                <w:sz w:val="22"/>
              </w:rPr>
            </w:pPr>
            <w:r>
              <w:rPr>
                <w:sz w:val="22"/>
              </w:rPr>
              <w:t>0..1</w:t>
            </w:r>
          </w:p>
        </w:tc>
        <w:tc>
          <w:tcPr>
            <w:tcW w:w="5513"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Short_Description</w:t>
            </w:r>
            <w:r w:rsidRPr="00A94A8C">
              <w:rPr>
                <w:rFonts w:ascii="Calibri" w:hAnsi="Calibri"/>
                <w:color w:val="000000"/>
                <w:sz w:val="22"/>
                <w:szCs w:val="22"/>
              </w:rPr>
              <w:t xml:space="preserve"> property captures a short textual description of the objective of this CourseOfAction.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680B9E">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r>
              <w:rPr>
                <w:rFonts w:ascii="Courier New" w:hAnsi="Courier New" w:cs="Courier New"/>
                <w:sz w:val="20"/>
              </w:rPr>
              <w:t>VulnerabilityType</w:t>
            </w:r>
          </w:p>
        </w:tc>
        <w:tc>
          <w:tcPr>
            <w:tcW w:w="1440" w:type="dxa"/>
            <w:vAlign w:val="center"/>
          </w:tcPr>
          <w:p w14:paraId="3D922234" w14:textId="6CA448CA" w:rsidR="00EE16DF" w:rsidRDefault="00EE16DF" w:rsidP="00EE16DF">
            <w:pPr>
              <w:jc w:val="center"/>
              <w:rPr>
                <w:sz w:val="22"/>
              </w:rPr>
            </w:pPr>
            <w:r>
              <w:rPr>
                <w:sz w:val="22"/>
              </w:rPr>
              <w:t>0..*</w:t>
            </w:r>
          </w:p>
        </w:tc>
        <w:tc>
          <w:tcPr>
            <w:tcW w:w="5513"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a CVE identifier, an OSVDB identifier, and CVSS information.</w:t>
            </w:r>
          </w:p>
        </w:tc>
      </w:tr>
      <w:tr w:rsidR="00EE16DF" w14:paraId="7673072A" w14:textId="77777777" w:rsidTr="00680B9E">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r>
              <w:rPr>
                <w:rFonts w:ascii="Courier New" w:hAnsi="Courier New" w:cs="Courier New"/>
                <w:sz w:val="20"/>
              </w:rPr>
              <w:t>WeaknessType</w:t>
            </w:r>
          </w:p>
        </w:tc>
        <w:tc>
          <w:tcPr>
            <w:tcW w:w="1440" w:type="dxa"/>
            <w:vAlign w:val="center"/>
          </w:tcPr>
          <w:p w14:paraId="32009923" w14:textId="40E583F0" w:rsidR="00EE16DF" w:rsidRDefault="00EE16DF" w:rsidP="00EE16DF">
            <w:pPr>
              <w:jc w:val="center"/>
              <w:rPr>
                <w:sz w:val="22"/>
              </w:rPr>
            </w:pPr>
            <w:r>
              <w:rPr>
                <w:sz w:val="22"/>
              </w:rPr>
              <w:t>0..*</w:t>
            </w:r>
          </w:p>
        </w:tc>
        <w:tc>
          <w:tcPr>
            <w:tcW w:w="5513"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680B9E">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r>
              <w:rPr>
                <w:rFonts w:ascii="Courier New" w:hAnsi="Courier New" w:cs="Courier New"/>
                <w:sz w:val="20"/>
              </w:rPr>
              <w:t>ConfigurationType</w:t>
            </w:r>
          </w:p>
        </w:tc>
        <w:tc>
          <w:tcPr>
            <w:tcW w:w="1440" w:type="dxa"/>
            <w:vAlign w:val="center"/>
          </w:tcPr>
          <w:p w14:paraId="6E26EC0C" w14:textId="114CF7C8" w:rsidR="00EE16DF" w:rsidRDefault="00EE16DF" w:rsidP="00EE16DF">
            <w:pPr>
              <w:jc w:val="center"/>
              <w:rPr>
                <w:sz w:val="22"/>
              </w:rPr>
            </w:pPr>
            <w:r>
              <w:rPr>
                <w:sz w:val="22"/>
              </w:rPr>
              <w:t>0..*</w:t>
            </w:r>
          </w:p>
        </w:tc>
        <w:tc>
          <w:tcPr>
            <w:tcW w:w="5513"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680B9E">
        <w:trPr>
          <w:trHeight w:val="547"/>
        </w:trPr>
        <w:tc>
          <w:tcPr>
            <w:tcW w:w="2515" w:type="dxa"/>
            <w:vAlign w:val="center"/>
          </w:tcPr>
          <w:p w14:paraId="21A061C1" w14:textId="36BE2CB1" w:rsidR="00EE16DF" w:rsidRDefault="00EE16DF" w:rsidP="00EE16DF">
            <w:pPr>
              <w:rPr>
                <w:b/>
                <w:sz w:val="22"/>
              </w:rPr>
            </w:pPr>
            <w:r>
              <w:rPr>
                <w:b/>
                <w:sz w:val="22"/>
              </w:rPr>
              <w:t>Potential_COAs</w:t>
            </w:r>
          </w:p>
        </w:tc>
        <w:tc>
          <w:tcPr>
            <w:tcW w:w="3780" w:type="dxa"/>
            <w:vAlign w:val="center"/>
          </w:tcPr>
          <w:p w14:paraId="20D2FC36" w14:textId="38C55B51" w:rsidR="00EE16DF" w:rsidRDefault="00EE16DF" w:rsidP="00EE16DF">
            <w:pPr>
              <w:rPr>
                <w:rFonts w:ascii="Courier New" w:hAnsi="Courier New" w:cs="Courier New"/>
                <w:sz w:val="20"/>
              </w:rPr>
            </w:pPr>
            <w:r>
              <w:rPr>
                <w:rFonts w:ascii="Courier New" w:hAnsi="Courier New" w:cs="Courier New"/>
                <w:sz w:val="20"/>
              </w:rPr>
              <w:t>PotentialCOAsType</w:t>
            </w:r>
          </w:p>
        </w:tc>
        <w:tc>
          <w:tcPr>
            <w:tcW w:w="1440" w:type="dxa"/>
            <w:vAlign w:val="center"/>
          </w:tcPr>
          <w:p w14:paraId="592267F3" w14:textId="064D042D" w:rsidR="00EE16DF" w:rsidRDefault="00EE16DF" w:rsidP="00EE16DF">
            <w:pPr>
              <w:jc w:val="center"/>
              <w:rPr>
                <w:sz w:val="22"/>
              </w:rPr>
            </w:pPr>
            <w:r>
              <w:rPr>
                <w:sz w:val="22"/>
              </w:rPr>
              <w:t>0..1</w:t>
            </w:r>
          </w:p>
        </w:tc>
        <w:tc>
          <w:tcPr>
            <w:tcW w:w="5513"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Potential_COAs</w:t>
            </w:r>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680B9E">
        <w:trPr>
          <w:trHeight w:val="547"/>
        </w:trPr>
        <w:tc>
          <w:tcPr>
            <w:tcW w:w="2515" w:type="dxa"/>
            <w:vAlign w:val="center"/>
          </w:tcPr>
          <w:p w14:paraId="56C60610" w14:textId="6F985D90" w:rsidR="00713C09" w:rsidRDefault="00713C09" w:rsidP="00713C09">
            <w:pPr>
              <w:rPr>
                <w:b/>
                <w:sz w:val="22"/>
              </w:rPr>
            </w:pPr>
            <w:r>
              <w:rPr>
                <w:b/>
                <w:sz w:val="22"/>
              </w:rPr>
              <w:t>Information_Source</w:t>
            </w:r>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r>
              <w:rPr>
                <w:rFonts w:ascii="Courier New" w:hAnsi="Courier New" w:cs="Courier New"/>
                <w:sz w:val="20"/>
              </w:rPr>
              <w:t>InformationSourceType</w:t>
            </w:r>
          </w:p>
        </w:tc>
        <w:tc>
          <w:tcPr>
            <w:tcW w:w="1440" w:type="dxa"/>
            <w:vAlign w:val="center"/>
          </w:tcPr>
          <w:p w14:paraId="006E374B" w14:textId="4823BCD0" w:rsidR="00713C09" w:rsidRDefault="00713C09" w:rsidP="00713C09">
            <w:pPr>
              <w:jc w:val="center"/>
              <w:rPr>
                <w:sz w:val="22"/>
              </w:rPr>
            </w:pPr>
            <w:r>
              <w:rPr>
                <w:sz w:val="22"/>
              </w:rPr>
              <w:t>0..1</w:t>
            </w:r>
          </w:p>
        </w:tc>
        <w:tc>
          <w:tcPr>
            <w:tcW w:w="5513"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Information_Source</w:t>
            </w:r>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information.  Examples of details captured include identitifying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680B9E">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r>
              <w:rPr>
                <w:rFonts w:ascii="Courier New" w:hAnsi="Courier New" w:cs="Courier New"/>
                <w:sz w:val="20"/>
              </w:rPr>
              <w:t>marking:MarkingType</w:t>
            </w:r>
          </w:p>
        </w:tc>
        <w:tc>
          <w:tcPr>
            <w:tcW w:w="1440" w:type="dxa"/>
            <w:vAlign w:val="center"/>
          </w:tcPr>
          <w:p w14:paraId="1B6114AB" w14:textId="4191D6CE" w:rsidR="00713C09" w:rsidRDefault="00713C09" w:rsidP="00713C09">
            <w:pPr>
              <w:jc w:val="center"/>
              <w:rPr>
                <w:sz w:val="22"/>
              </w:rPr>
            </w:pPr>
            <w:r>
              <w:rPr>
                <w:sz w:val="22"/>
              </w:rPr>
              <w:t>0..1</w:t>
            </w:r>
          </w:p>
        </w:tc>
        <w:tc>
          <w:tcPr>
            <w:tcW w:w="5513"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680B9E">
        <w:trPr>
          <w:trHeight w:val="547"/>
        </w:trPr>
        <w:tc>
          <w:tcPr>
            <w:tcW w:w="2515" w:type="dxa"/>
            <w:vAlign w:val="center"/>
          </w:tcPr>
          <w:p w14:paraId="650123F7" w14:textId="2D293677" w:rsidR="00713C09" w:rsidRDefault="00713C09" w:rsidP="00713C09">
            <w:pPr>
              <w:rPr>
                <w:b/>
                <w:sz w:val="22"/>
              </w:rPr>
            </w:pPr>
            <w:r>
              <w:rPr>
                <w:b/>
                <w:sz w:val="22"/>
              </w:rPr>
              <w:t>Related_Exploit_Targets</w:t>
            </w:r>
          </w:p>
        </w:tc>
        <w:tc>
          <w:tcPr>
            <w:tcW w:w="3780" w:type="dxa"/>
            <w:vAlign w:val="center"/>
          </w:tcPr>
          <w:p w14:paraId="77CD9B4F" w14:textId="40F93DC0" w:rsidR="00713C09" w:rsidRDefault="00713C09" w:rsidP="00713C09">
            <w:pPr>
              <w:rPr>
                <w:rFonts w:ascii="Courier New" w:hAnsi="Courier New" w:cs="Courier New"/>
                <w:sz w:val="20"/>
              </w:rPr>
            </w:pPr>
            <w:r>
              <w:rPr>
                <w:rFonts w:ascii="Courier New" w:hAnsi="Courier New" w:cs="Courier New"/>
                <w:sz w:val="20"/>
              </w:rPr>
              <w:t>RelatedExploitTargetsType</w:t>
            </w:r>
          </w:p>
        </w:tc>
        <w:tc>
          <w:tcPr>
            <w:tcW w:w="1440" w:type="dxa"/>
            <w:vAlign w:val="center"/>
          </w:tcPr>
          <w:p w14:paraId="25CC2B13" w14:textId="211B2E0D" w:rsidR="00713C09" w:rsidRDefault="00713C09" w:rsidP="00713C09">
            <w:pPr>
              <w:jc w:val="center"/>
              <w:rPr>
                <w:sz w:val="22"/>
              </w:rPr>
            </w:pPr>
            <w:r>
              <w:rPr>
                <w:sz w:val="22"/>
              </w:rPr>
              <w:t>0..1</w:t>
            </w:r>
          </w:p>
        </w:tc>
        <w:tc>
          <w:tcPr>
            <w:tcW w:w="5513"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Related_Exploit_Targets</w:t>
            </w:r>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680B9E">
        <w:trPr>
          <w:trHeight w:val="547"/>
        </w:trPr>
        <w:tc>
          <w:tcPr>
            <w:tcW w:w="2515" w:type="dxa"/>
            <w:vAlign w:val="center"/>
          </w:tcPr>
          <w:p w14:paraId="6F175EDD" w14:textId="4A0B5320" w:rsidR="00713C09" w:rsidRDefault="00713C09" w:rsidP="00713C09">
            <w:pPr>
              <w:rPr>
                <w:b/>
                <w:sz w:val="22"/>
              </w:rPr>
            </w:pPr>
            <w:r>
              <w:rPr>
                <w:b/>
                <w:sz w:val="22"/>
              </w:rPr>
              <w:t>Related_Packages</w:t>
            </w:r>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r>
              <w:rPr>
                <w:rFonts w:ascii="Courier New" w:hAnsi="Courier New" w:cs="Courier New"/>
                <w:sz w:val="20"/>
              </w:rPr>
              <w:t>RelatedPackagesRefsType</w:t>
            </w:r>
          </w:p>
        </w:tc>
        <w:tc>
          <w:tcPr>
            <w:tcW w:w="1440" w:type="dxa"/>
            <w:vAlign w:val="center"/>
          </w:tcPr>
          <w:p w14:paraId="6DB1B0FD" w14:textId="52686391" w:rsidR="00713C09" w:rsidRDefault="00713C09" w:rsidP="00713C09">
            <w:pPr>
              <w:jc w:val="center"/>
              <w:rPr>
                <w:sz w:val="22"/>
              </w:rPr>
            </w:pPr>
            <w:r>
              <w:rPr>
                <w:sz w:val="22"/>
              </w:rPr>
              <w:t>0..1</w:t>
            </w:r>
          </w:p>
        </w:tc>
        <w:tc>
          <w:tcPr>
            <w:tcW w:w="5513"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Related_Packages</w:t>
            </w:r>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0" w:name="_Toc419122297"/>
      <w:bookmarkEnd w:id="57"/>
      <w:r>
        <w:t>ExploitTargetVersionType Enumeration</w:t>
      </w:r>
      <w:bookmarkEnd w:id="60"/>
    </w:p>
    <w:p w14:paraId="0E0FE2E2" w14:textId="0BBD2841" w:rsidR="00C36F1D" w:rsidRPr="00F54E25" w:rsidRDefault="00C36F1D" w:rsidP="00C36F1D">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640E8E" w:rsidRPr="00C96A2E">
        <w:t xml:space="preserve">Table </w:t>
      </w:r>
      <w:r w:rsidR="00640E8E">
        <w:rPr>
          <w:noProof/>
        </w:rPr>
        <w:t>3</w:t>
      </w:r>
      <w:r w:rsidR="00640E8E">
        <w:noBreakHyphen/>
      </w:r>
      <w:r w:rsidR="00640E8E">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1"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2</w:t>
      </w:r>
      <w:r>
        <w:rPr>
          <w:color w:val="auto"/>
          <w:sz w:val="24"/>
          <w:szCs w:val="24"/>
        </w:rPr>
        <w:fldChar w:fldCharType="end"/>
      </w:r>
      <w:bookmarkEnd w:id="61"/>
      <w:r>
        <w:rPr>
          <w:color w:val="auto"/>
          <w:sz w:val="24"/>
          <w:szCs w:val="24"/>
        </w:rPr>
        <w:t xml:space="preserve">. </w:t>
      </w:r>
      <w:r w:rsidR="000F0080">
        <w:rPr>
          <w:b w:val="0"/>
          <w:color w:val="auto"/>
          <w:sz w:val="24"/>
          <w:szCs w:val="24"/>
        </w:rPr>
        <w:t>Literals</w:t>
      </w:r>
      <w:r>
        <w:rPr>
          <w:b w:val="0"/>
          <w:color w:val="auto"/>
          <w:sz w:val="24"/>
          <w:szCs w:val="24"/>
        </w:rPr>
        <w:t xml:space="preserve"> of the </w:t>
      </w:r>
      <w:r>
        <w:rPr>
          <w:rFonts w:ascii="Courier New" w:hAnsi="Courier New" w:cs="Courier New"/>
          <w:b w:val="0"/>
          <w:color w:val="auto"/>
          <w:sz w:val="24"/>
          <w:szCs w:val="24"/>
        </w:rPr>
        <w:t>ExploitTargetVersionType</w:t>
      </w:r>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2" w:name="_Toc419122298"/>
      <w:r>
        <w:t>VulnerabilityType Class</w:t>
      </w:r>
      <w:bookmarkEnd w:id="62"/>
    </w:p>
    <w:p w14:paraId="02A1B5E9" w14:textId="65150642" w:rsidR="00EA53DA" w:rsidRDefault="00EF037D" w:rsidP="007070E3">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5"/>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78293FDF" w:rsidR="00EA53DA" w:rsidRDefault="00211549" w:rsidP="00EA53DA">
      <w:pPr>
        <w:jc w:val="center"/>
      </w:pPr>
      <w:r w:rsidRPr="00211549">
        <w:rPr>
          <w:noProof/>
        </w:rPr>
        <w:lastRenderedPageBreak/>
        <w:drawing>
          <wp:inline distT="0" distB="0" distL="0" distR="0" wp14:anchorId="73DED6D3" wp14:editId="03B488DE">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3"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2</w:t>
      </w:r>
      <w:r w:rsidR="00A70778">
        <w:rPr>
          <w:color w:val="auto"/>
          <w:sz w:val="24"/>
          <w:szCs w:val="24"/>
        </w:rPr>
        <w:fldChar w:fldCharType="end"/>
      </w:r>
      <w:bookmarkEnd w:id="63"/>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VulnerabilityType</w:t>
      </w:r>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4"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3</w:t>
      </w:r>
      <w:r>
        <w:rPr>
          <w:color w:val="auto"/>
          <w:sz w:val="24"/>
          <w:szCs w:val="24"/>
        </w:rPr>
        <w:fldChar w:fldCharType="end"/>
      </w:r>
      <w:bookmarkEnd w:id="6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r>
              <w:rPr>
                <w:b/>
                <w:sz w:val="22"/>
              </w:rPr>
              <w:t>is_known</w:t>
            </w:r>
          </w:p>
        </w:tc>
        <w:tc>
          <w:tcPr>
            <w:tcW w:w="3240" w:type="dxa"/>
            <w:vAlign w:val="center"/>
          </w:tcPr>
          <w:p w14:paraId="6F3C4691" w14:textId="220F9F1D"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is_known</w:t>
            </w:r>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r>
              <w:rPr>
                <w:b/>
                <w:sz w:val="22"/>
              </w:rPr>
              <w:t>is_publicly_acknowledged</w:t>
            </w:r>
          </w:p>
        </w:tc>
        <w:tc>
          <w:tcPr>
            <w:tcW w:w="3240" w:type="dxa"/>
            <w:vAlign w:val="center"/>
          </w:tcPr>
          <w:p w14:paraId="08B5D5C1" w14:textId="29454417" w:rsidR="00C36F1D" w:rsidRPr="00AF2194" w:rsidRDefault="00AF2194" w:rsidP="00BE46CF">
            <w:pPr>
              <w:rPr>
                <w:rFonts w:ascii="Courier New" w:hAnsi="Courier New" w:cs="Courier New"/>
                <w:sz w:val="20"/>
              </w:rPr>
            </w:pPr>
            <w:r>
              <w:rPr>
                <w:rFonts w:ascii="Courier New" w:hAnsi="Courier New" w:cs="Courier New"/>
                <w:sz w:val="20"/>
              </w:rPr>
              <w:t>basicDataTypes:Boolean</w:t>
            </w:r>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is_publicly_acknowledged</w:t>
            </w:r>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r w:rsidRPr="00205AB6">
              <w:rPr>
                <w:rFonts w:ascii="Courier New" w:hAnsi="Courier New" w:cs="Courier New"/>
                <w:color w:val="000000"/>
                <w:sz w:val="22"/>
                <w:szCs w:val="22"/>
              </w:rPr>
              <w:t>structuring_format</w:t>
            </w:r>
            <w:r w:rsidRPr="00205AB6">
              <w:rPr>
                <w:rFonts w:ascii="Calibri" w:hAnsi="Calibri"/>
                <w:color w:val="000000"/>
                <w:sz w:val="22"/>
                <w:szCs w:val="22"/>
              </w:rPr>
              <w:t xml:space="preserve"> property of the </w:t>
            </w:r>
            <w:r w:rsidRPr="00205AB6">
              <w:rPr>
                <w:rFonts w:ascii="Courier New" w:hAnsi="Courier New" w:cs="Courier New"/>
                <w:color w:val="000000"/>
                <w:sz w:val="22"/>
                <w:szCs w:val="22"/>
              </w:rPr>
              <w:t>StructuredTextType</w:t>
            </w:r>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r>
              <w:rPr>
                <w:b/>
                <w:sz w:val="22"/>
              </w:rPr>
              <w:t>Short_Description</w:t>
            </w:r>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r>
              <w:rPr>
                <w:rFonts w:ascii="Courier New" w:hAnsi="Courier New" w:cs="Courier New"/>
                <w:sz w:val="20"/>
              </w:rPr>
              <w:t>StructuredTextType</w:t>
            </w:r>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Short_Description</w:t>
            </w:r>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r>
              <w:rPr>
                <w:rFonts w:ascii="Courier New" w:hAnsi="Courier New" w:cs="Courier New"/>
                <w:sz w:val="20"/>
              </w:rPr>
              <w:t>basicDataTypes:CVE_ID</w:t>
            </w:r>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r>
              <w:rPr>
                <w:rFonts w:ascii="Courier New" w:hAnsi="Courier New" w:cs="Courier New"/>
                <w:sz w:val="20"/>
              </w:rPr>
              <w:t>basicDataTypes:</w:t>
            </w:r>
          </w:p>
          <w:p w14:paraId="06ED80F3" w14:textId="53150FF3" w:rsidR="008C3F45" w:rsidRDefault="005957F5" w:rsidP="00BE46CF">
            <w:pPr>
              <w:rPr>
                <w:rFonts w:ascii="Courier New" w:hAnsi="Courier New" w:cs="Courier New"/>
                <w:sz w:val="20"/>
              </w:rPr>
            </w:pPr>
            <w:r>
              <w:rPr>
                <w:rFonts w:ascii="Courier New" w:hAnsi="Courier New" w:cs="Courier New"/>
                <w:sz w:val="20"/>
              </w:rPr>
              <w:t>PositiveInteger</w:t>
            </w:r>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r>
              <w:rPr>
                <w:rFonts w:ascii="Courier New" w:hAnsi="Courier New" w:cs="Courier New"/>
                <w:sz w:val="20"/>
              </w:rPr>
              <w:t>basicDataTypes:String</w:t>
            </w:r>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r>
              <w:rPr>
                <w:b/>
                <w:sz w:val="22"/>
              </w:rPr>
              <w:t>CVSS_Score</w:t>
            </w:r>
          </w:p>
        </w:tc>
        <w:tc>
          <w:tcPr>
            <w:tcW w:w="3240" w:type="dxa"/>
            <w:vAlign w:val="center"/>
          </w:tcPr>
          <w:p w14:paraId="4A52176D" w14:textId="4F14D313" w:rsidR="008C3F45" w:rsidRDefault="00D4066B" w:rsidP="00BE46CF">
            <w:pPr>
              <w:rPr>
                <w:rFonts w:ascii="Courier New" w:hAnsi="Courier New" w:cs="Courier New"/>
                <w:sz w:val="20"/>
              </w:rPr>
            </w:pPr>
            <w:r>
              <w:rPr>
                <w:rFonts w:ascii="Courier New" w:hAnsi="Courier New" w:cs="Courier New"/>
                <w:sz w:val="20"/>
              </w:rPr>
              <w:t>CVSSVectorType</w:t>
            </w:r>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CVSS_Score</w:t>
            </w:r>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r>
              <w:rPr>
                <w:b/>
                <w:sz w:val="22"/>
              </w:rPr>
              <w:t>Discovered_DateTime</w:t>
            </w:r>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Discovered_DateTime</w:t>
            </w:r>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r>
              <w:rPr>
                <w:b/>
                <w:sz w:val="22"/>
              </w:rPr>
              <w:lastRenderedPageBreak/>
              <w:t>Published_DateTime</w:t>
            </w:r>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r>
              <w:rPr>
                <w:rFonts w:ascii="Courier New" w:hAnsi="Courier New" w:cs="Courier New"/>
                <w:sz w:val="20"/>
              </w:rPr>
              <w:t>DateTimeWithPrecisionType</w:t>
            </w:r>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Published_DateTime</w:t>
            </w:r>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205AB6">
              <w:rPr>
                <w:rFonts w:ascii="Courier New" w:hAnsi="Courier New" w:cs="Courier New"/>
                <w:color w:val="000000"/>
                <w:sz w:val="22"/>
                <w:szCs w:val="22"/>
              </w:rPr>
              <w:t>Date_Time</w:t>
            </w:r>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r w:rsidRPr="00205AB6">
              <w:rPr>
                <w:rFonts w:ascii="Courier New" w:hAnsi="Courier New" w:cs="Courier New"/>
                <w:color w:val="000000"/>
                <w:sz w:val="22"/>
                <w:szCs w:val="22"/>
              </w:rPr>
              <w:t>DateTypePrecisionEnum</w:t>
            </w:r>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r>
              <w:rPr>
                <w:b/>
                <w:sz w:val="22"/>
              </w:rPr>
              <w:t>Affected_Software</w:t>
            </w:r>
          </w:p>
        </w:tc>
        <w:tc>
          <w:tcPr>
            <w:tcW w:w="3240" w:type="dxa"/>
            <w:vAlign w:val="center"/>
          </w:tcPr>
          <w:p w14:paraId="0E3632FC" w14:textId="3F0D4428" w:rsidR="00E103EC" w:rsidRDefault="00E103EC" w:rsidP="00E103EC">
            <w:pPr>
              <w:rPr>
                <w:rFonts w:ascii="Courier New" w:hAnsi="Courier New" w:cs="Courier New"/>
                <w:sz w:val="20"/>
              </w:rPr>
            </w:pPr>
            <w:r>
              <w:rPr>
                <w:rFonts w:ascii="Courier New" w:hAnsi="Courier New" w:cs="Courier New"/>
                <w:sz w:val="20"/>
              </w:rPr>
              <w:t>AffectedSoftwareType</w:t>
            </w:r>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Affected_Software</w:t>
            </w:r>
            <w:r w:rsidRPr="00205AB6">
              <w:rPr>
                <w:rFonts w:ascii="Calibri" w:hAnsi="Calibri" w:cs="Arial"/>
                <w:sz w:val="22"/>
                <w:szCs w:val="22"/>
              </w:rPr>
              <w:t xml:space="preserve"> property specifies a set of one or more software products that is affected by this vulnerability.  It leverages the CybOX </w:t>
            </w:r>
            <w:r w:rsidRPr="00205AB6">
              <w:rPr>
                <w:rFonts w:ascii="Courier New" w:hAnsi="Courier New" w:cs="Courier New"/>
                <w:sz w:val="22"/>
                <w:szCs w:val="22"/>
              </w:rPr>
              <w:t>ObservableType</w:t>
            </w:r>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r>
              <w:rPr>
                <w:rFonts w:ascii="Courier New" w:hAnsi="Courier New" w:cs="Courier New"/>
                <w:sz w:val="20"/>
              </w:rPr>
              <w:t>stixCommon:ReferencesType</w:t>
            </w:r>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5" w:name="_Toc419122299"/>
      <w:r>
        <w:t>CVSSVectorType Class</w:t>
      </w:r>
      <w:bookmarkEnd w:id="65"/>
    </w:p>
    <w:p w14:paraId="08879CC6" w14:textId="2C931E9B" w:rsidR="008A5759" w:rsidRDefault="00FA6AC1" w:rsidP="007070E3">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r>
        <w:rPr>
          <w:rFonts w:ascii="Courier New" w:hAnsi="Courier New" w:cs="Courier New"/>
        </w:rPr>
        <w:t>CVSSVectorType</w:t>
      </w:r>
      <w:r w:rsidRPr="008A288A">
        <w:t xml:space="preserve"> </w:t>
      </w:r>
      <w:r>
        <w:t xml:space="preserve">class is given in </w:t>
      </w:r>
      <w:r>
        <w:fldChar w:fldCharType="begin"/>
      </w:r>
      <w:r>
        <w:instrText xml:space="preserve"> REF _Ref407480705 \h </w:instrText>
      </w:r>
      <w:r>
        <w:fldChar w:fldCharType="separate"/>
      </w:r>
      <w:r w:rsidR="00640E8E" w:rsidRPr="00C96A2E">
        <w:t xml:space="preserve">Table </w:t>
      </w:r>
      <w:r w:rsidR="00640E8E">
        <w:rPr>
          <w:noProof/>
        </w:rPr>
        <w:t>3</w:t>
      </w:r>
      <w:r w:rsidR="00640E8E">
        <w:noBreakHyphen/>
      </w:r>
      <w:r w:rsidR="00640E8E">
        <w:rPr>
          <w:noProof/>
        </w:rPr>
        <w:t>4</w:t>
      </w:r>
      <w:r>
        <w:fldChar w:fldCharType="end"/>
      </w:r>
      <w:r>
        <w:t>.</w:t>
      </w:r>
    </w:p>
    <w:p w14:paraId="402F7822" w14:textId="2CC8737E" w:rsidR="00D4066B" w:rsidRDefault="00D4066B" w:rsidP="00185CB1">
      <w:pPr>
        <w:pStyle w:val="Caption"/>
        <w:keepNext/>
        <w:keepLines/>
        <w:spacing w:after="120"/>
        <w:jc w:val="center"/>
      </w:pPr>
      <w:bookmarkStart w:id="66"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4</w:t>
      </w:r>
      <w:r>
        <w:rPr>
          <w:color w:val="auto"/>
          <w:sz w:val="24"/>
          <w:szCs w:val="24"/>
        </w:rPr>
        <w:fldChar w:fldCharType="end"/>
      </w:r>
      <w:bookmarkEnd w:id="66"/>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r>
              <w:rPr>
                <w:b/>
                <w:sz w:val="22"/>
              </w:rPr>
              <w:t>Overall_Score</w:t>
            </w:r>
          </w:p>
        </w:tc>
        <w:tc>
          <w:tcPr>
            <w:tcW w:w="3780" w:type="dxa"/>
            <w:vAlign w:val="center"/>
          </w:tcPr>
          <w:p w14:paraId="52B99784" w14:textId="1614C9A7" w:rsidR="00B75C7A" w:rsidRPr="00D05701"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Overall_Score</w:t>
            </w:r>
            <w:r>
              <w:rPr>
                <w:rFonts w:ascii="Calibri" w:hAnsi="Calibri" w:cs="Arial"/>
                <w:sz w:val="22"/>
                <w:szCs w:val="22"/>
              </w:rPr>
              <w:t xml:space="preserve"> property specifies the CVSS 2.0 overall score. Note that this is not the same as the unadjusted CVSS base score, which should be specified in the </w:t>
            </w:r>
            <w:r>
              <w:rPr>
                <w:rFonts w:ascii="Courier New" w:hAnsi="Courier New" w:cs="Courier New"/>
                <w:sz w:val="22"/>
                <w:szCs w:val="22"/>
              </w:rPr>
              <w:t>Base_Score</w:t>
            </w:r>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r>
              <w:rPr>
                <w:b/>
                <w:sz w:val="22"/>
              </w:rPr>
              <w:lastRenderedPageBreak/>
              <w:t>Base_Score</w:t>
            </w:r>
          </w:p>
        </w:tc>
        <w:tc>
          <w:tcPr>
            <w:tcW w:w="3780" w:type="dxa"/>
            <w:vAlign w:val="center"/>
          </w:tcPr>
          <w:p w14:paraId="5327DC14" w14:textId="6320B604"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Base_Score</w:t>
            </w:r>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r>
              <w:rPr>
                <w:b/>
                <w:sz w:val="22"/>
              </w:rPr>
              <w:t>Base_Vector</w:t>
            </w:r>
          </w:p>
        </w:tc>
        <w:tc>
          <w:tcPr>
            <w:tcW w:w="3780" w:type="dxa"/>
            <w:vAlign w:val="center"/>
          </w:tcPr>
          <w:p w14:paraId="69DF2E3D" w14:textId="4F4D3305" w:rsidR="00B75C7A" w:rsidRDefault="00B75C7A" w:rsidP="00B75C7A">
            <w:pPr>
              <w:rPr>
                <w:rFonts w:ascii="Courier New" w:hAnsi="Courier New" w:cs="Courier New"/>
                <w:sz w:val="20"/>
              </w:rPr>
            </w:pPr>
            <w:r>
              <w:rPr>
                <w:rFonts w:ascii="Courier New" w:hAnsi="Courier New" w:cs="Courier New"/>
                <w:sz w:val="20"/>
              </w:rPr>
              <w:t>CVSSBaseVectorType</w:t>
            </w:r>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Base_Vector</w:t>
            </w:r>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r>
              <w:rPr>
                <w:b/>
                <w:sz w:val="22"/>
              </w:rPr>
              <w:t>Temporal_Score</w:t>
            </w:r>
          </w:p>
        </w:tc>
        <w:tc>
          <w:tcPr>
            <w:tcW w:w="3780" w:type="dxa"/>
            <w:vAlign w:val="center"/>
          </w:tcPr>
          <w:p w14:paraId="279CEE2D" w14:textId="1EC45809"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Temporal_Score</w:t>
            </w:r>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r>
              <w:rPr>
                <w:b/>
                <w:sz w:val="22"/>
              </w:rPr>
              <w:t>Temporal_Vector</w:t>
            </w:r>
          </w:p>
        </w:tc>
        <w:tc>
          <w:tcPr>
            <w:tcW w:w="3780" w:type="dxa"/>
            <w:vAlign w:val="center"/>
          </w:tcPr>
          <w:p w14:paraId="5580F964" w14:textId="3DD6D46A" w:rsidR="00B75C7A" w:rsidRDefault="00B75C7A" w:rsidP="00B75C7A">
            <w:pPr>
              <w:rPr>
                <w:rFonts w:ascii="Courier New" w:hAnsi="Courier New" w:cs="Courier New"/>
                <w:sz w:val="20"/>
              </w:rPr>
            </w:pPr>
            <w:r>
              <w:rPr>
                <w:rFonts w:ascii="Courier New" w:hAnsi="Courier New" w:cs="Courier New"/>
                <w:sz w:val="20"/>
              </w:rPr>
              <w:t>CVSSTemporalVectorType</w:t>
            </w:r>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Temporal_Vector</w:t>
            </w:r>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r>
              <w:rPr>
                <w:b/>
                <w:sz w:val="22"/>
              </w:rPr>
              <w:t>Environmental_Score</w:t>
            </w:r>
          </w:p>
        </w:tc>
        <w:tc>
          <w:tcPr>
            <w:tcW w:w="3780" w:type="dxa"/>
            <w:vAlign w:val="center"/>
          </w:tcPr>
          <w:p w14:paraId="663C4E21" w14:textId="13A07D2F" w:rsidR="00B75C7A" w:rsidRDefault="00B75C7A" w:rsidP="00B75C7A">
            <w:pPr>
              <w:rPr>
                <w:rFonts w:ascii="Courier New" w:hAnsi="Courier New" w:cs="Courier New"/>
                <w:sz w:val="20"/>
              </w:rPr>
            </w:pPr>
            <w:r>
              <w:rPr>
                <w:rFonts w:ascii="Courier New" w:hAnsi="Courier New" w:cs="Courier New"/>
                <w:sz w:val="20"/>
              </w:rPr>
              <w:t>CVSSScoreType</w:t>
            </w:r>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Environmental_Score</w:t>
            </w:r>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r>
              <w:rPr>
                <w:b/>
                <w:sz w:val="22"/>
              </w:rPr>
              <w:t>Environmental_Vector</w:t>
            </w:r>
          </w:p>
        </w:tc>
        <w:tc>
          <w:tcPr>
            <w:tcW w:w="3780" w:type="dxa"/>
            <w:vAlign w:val="center"/>
          </w:tcPr>
          <w:p w14:paraId="5D4291D4" w14:textId="697EC8A6" w:rsidR="00B75C7A" w:rsidRDefault="00B75C7A" w:rsidP="00B75C7A">
            <w:pPr>
              <w:rPr>
                <w:rFonts w:ascii="Courier New" w:hAnsi="Courier New" w:cs="Courier New"/>
                <w:sz w:val="20"/>
              </w:rPr>
            </w:pPr>
            <w:r>
              <w:rPr>
                <w:rFonts w:ascii="Courier New" w:hAnsi="Courier New" w:cs="Courier New"/>
                <w:sz w:val="20"/>
              </w:rPr>
              <w:t>CVSSEnvironmentalVectorType</w:t>
            </w:r>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Environmental_Vector</w:t>
            </w:r>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7" w:name="_Toc419122300"/>
      <w:r>
        <w:t xml:space="preserve">CVSSScoreType </w:t>
      </w:r>
      <w:r w:rsidR="00813B56">
        <w:t>Data Type</w:t>
      </w:r>
      <w:bookmarkEnd w:id="67"/>
    </w:p>
    <w:p w14:paraId="7CE419D1" w14:textId="7DC7F43E" w:rsidR="00052AE0" w:rsidRDefault="00201A50" w:rsidP="00052AE0">
      <w:r>
        <w:t xml:space="preserve">The </w:t>
      </w:r>
      <w:r w:rsidRPr="00201A50">
        <w:rPr>
          <w:rFonts w:ascii="Courier New" w:hAnsi="Courier New" w:cs="Courier New"/>
        </w:rPr>
        <w:t>CVSSScoreType</w:t>
      </w:r>
      <w:r>
        <w:t xml:space="preserve"> </w:t>
      </w:r>
      <w:r w:rsidR="00813B56">
        <w:t>data type</w:t>
      </w:r>
      <w:r>
        <w:t xml:space="preserve"> </w:t>
      </w:r>
      <w:r w:rsidR="00813B56">
        <w:t>specializes the</w:t>
      </w:r>
      <w:r w:rsidR="00B75C7A">
        <w:t xml:space="preserve"> </w:t>
      </w:r>
      <w:r w:rsidRPr="00201A50">
        <w:rPr>
          <w:rFonts w:ascii="Courier New" w:hAnsi="Courier New" w:cs="Courier New"/>
        </w:rPr>
        <w:t>basicDataTypes:BasicString</w:t>
      </w:r>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8" w:name="_Toc419122301"/>
      <w:r>
        <w:t xml:space="preserve">CVSSBaseVectorType </w:t>
      </w:r>
      <w:r w:rsidR="00813B56">
        <w:t>Data Type</w:t>
      </w:r>
      <w:bookmarkEnd w:id="68"/>
    </w:p>
    <w:p w14:paraId="5E916323" w14:textId="068226DC" w:rsidR="00052AE0" w:rsidRPr="00052AE0" w:rsidRDefault="00201A50" w:rsidP="00052AE0">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69" w:name="_Toc419122302"/>
      <w:r>
        <w:t xml:space="preserve">CVSSTemporalVectorType </w:t>
      </w:r>
      <w:r w:rsidR="00813B56">
        <w:t>Data Type</w:t>
      </w:r>
      <w:bookmarkEnd w:id="69"/>
    </w:p>
    <w:p w14:paraId="169EC870" w14:textId="0DA3EA3F" w:rsidR="00052AE0" w:rsidRPr="00052AE0" w:rsidRDefault="00201A50" w:rsidP="00052AE0">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w:t>
      </w:r>
      <w:r w:rsidR="00813B56">
        <w:t>data type</w:t>
      </w:r>
      <w:r>
        <w:t xml:space="preserve">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0" w:name="_Toc419122303"/>
      <w:r>
        <w:t xml:space="preserve">CVSSEnvironmentalVectorType </w:t>
      </w:r>
      <w:r w:rsidR="00813B56">
        <w:t>Data Type</w:t>
      </w:r>
      <w:bookmarkEnd w:id="70"/>
    </w:p>
    <w:p w14:paraId="0ADA418B" w14:textId="3AE159B4" w:rsidR="00052AE0" w:rsidRPr="00052AE0" w:rsidRDefault="00201A50" w:rsidP="00052AE0">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w:t>
      </w:r>
      <w:r w:rsidR="00813B56">
        <w:t xml:space="preserve">data </w:t>
      </w:r>
      <w:r w:rsidR="00207121">
        <w:t xml:space="preserve">specializes the </w:t>
      </w:r>
      <w:r w:rsidR="00207121" w:rsidRPr="00201A50">
        <w:rPr>
          <w:rFonts w:ascii="Courier New" w:hAnsi="Courier New" w:cs="Courier New"/>
        </w:rPr>
        <w:t>basicDataTypes:BasicString</w:t>
      </w:r>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1" w:name="_Toc419122304"/>
      <w:r>
        <w:lastRenderedPageBreak/>
        <w:t>AffectedSoftwareType Class</w:t>
      </w:r>
      <w:bookmarkEnd w:id="71"/>
    </w:p>
    <w:p w14:paraId="559606E9" w14:textId="04A7FA82" w:rsidR="008A5759" w:rsidRDefault="004649F7" w:rsidP="008A5759">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fldChar w:fldCharType="begin"/>
      </w:r>
      <w:r>
        <w:instrText xml:space="preserve"> REF _Ref414454124 \h </w:instrText>
      </w:r>
      <w:r>
        <w:fldChar w:fldCharType="separate"/>
      </w:r>
      <w:r w:rsidR="00640E8E" w:rsidRPr="00C96A2E">
        <w:t xml:space="preserve">Table </w:t>
      </w:r>
      <w:r w:rsidR="00640E8E">
        <w:rPr>
          <w:noProof/>
        </w:rPr>
        <w:t>3</w:t>
      </w:r>
      <w:r w:rsidR="00640E8E">
        <w:noBreakHyphen/>
      </w:r>
      <w:r w:rsidR="00640E8E">
        <w:rPr>
          <w:noProof/>
        </w:rPr>
        <w:t>5</w:t>
      </w:r>
      <w:r>
        <w:fldChar w:fldCharType="end"/>
      </w:r>
      <w:r>
        <w:t>.</w:t>
      </w:r>
    </w:p>
    <w:p w14:paraId="19BE5DC2" w14:textId="5329A39A" w:rsidR="008C3F45" w:rsidRDefault="008C3F45" w:rsidP="008C3F45">
      <w:pPr>
        <w:pStyle w:val="Caption"/>
        <w:keepNext/>
        <w:keepLines/>
        <w:spacing w:after="120"/>
        <w:jc w:val="center"/>
      </w:pPr>
      <w:bookmarkStart w:id="72"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5</w:t>
      </w:r>
      <w:r>
        <w:rPr>
          <w:color w:val="auto"/>
          <w:sz w:val="24"/>
          <w:szCs w:val="24"/>
        </w:rPr>
        <w:fldChar w:fldCharType="end"/>
      </w:r>
      <w:bookmarkEnd w:id="7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r>
              <w:rPr>
                <w:b/>
                <w:sz w:val="22"/>
              </w:rPr>
              <w:t>Affected_Software</w:t>
            </w:r>
          </w:p>
        </w:tc>
        <w:tc>
          <w:tcPr>
            <w:tcW w:w="4140" w:type="dxa"/>
            <w:vAlign w:val="center"/>
          </w:tcPr>
          <w:p w14:paraId="3272E104" w14:textId="1A567074" w:rsidR="008C3F45" w:rsidRPr="00D05701" w:rsidRDefault="008C3F45" w:rsidP="00BE46CF">
            <w:pPr>
              <w:rPr>
                <w:rFonts w:ascii="Courier New" w:hAnsi="Courier New" w:cs="Courier New"/>
                <w:sz w:val="20"/>
              </w:rPr>
            </w:pPr>
            <w:r>
              <w:rPr>
                <w:rFonts w:ascii="Courier New" w:hAnsi="Courier New" w:cs="Courier New"/>
                <w:sz w:val="20"/>
              </w:rPr>
              <w:t>stixCommon:RelatedObservableType</w:t>
            </w:r>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Affected_Software</w:t>
            </w:r>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3" w:name="_Toc419122305"/>
      <w:r>
        <w:t>Weakness</w:t>
      </w:r>
      <w:r w:rsidR="00D63B60" w:rsidRPr="001C396C">
        <w:t>Type Class</w:t>
      </w:r>
      <w:bookmarkEnd w:id="73"/>
    </w:p>
    <w:p w14:paraId="314938D0" w14:textId="77777777" w:rsidR="008A5759" w:rsidRDefault="008A5759" w:rsidP="00187717">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640E8E" w:rsidRPr="00C96A2E">
        <w:t xml:space="preserve">Table </w:t>
      </w:r>
      <w:r w:rsidR="00640E8E">
        <w:rPr>
          <w:noProof/>
        </w:rPr>
        <w:t>3</w:t>
      </w:r>
      <w:r w:rsidR="00640E8E">
        <w:noBreakHyphen/>
      </w:r>
      <w:r w:rsidR="00640E8E">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4"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6</w:t>
      </w:r>
      <w:r>
        <w:rPr>
          <w:color w:val="auto"/>
          <w:sz w:val="24"/>
          <w:szCs w:val="24"/>
        </w:rPr>
        <w:fldChar w:fldCharType="end"/>
      </w:r>
      <w:bookmarkEnd w:id="74"/>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r>
              <w:rPr>
                <w:rFonts w:ascii="Courier New" w:hAnsi="Courier New" w:cs="Courier New"/>
                <w:sz w:val="20"/>
              </w:rPr>
              <w:t>basicDataTypes:CWE_ID</w:t>
            </w:r>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5" w:name="_Toc398242044"/>
      <w:bookmarkStart w:id="76" w:name="_Toc419122306"/>
      <w:r>
        <w:lastRenderedPageBreak/>
        <w:t>ConfigurationType</w:t>
      </w:r>
      <w:r w:rsidR="00D63B60" w:rsidRPr="00B01346">
        <w:t xml:space="preserve"> Class</w:t>
      </w:r>
      <w:bookmarkEnd w:id="75"/>
      <w:bookmarkEnd w:id="76"/>
    </w:p>
    <w:p w14:paraId="092E8AD2" w14:textId="7EDE5E89" w:rsidR="00187717" w:rsidRDefault="00D63B60" w:rsidP="00187717">
      <w:pPr>
        <w:spacing w:after="240"/>
      </w:pPr>
      <w:r w:rsidRPr="005B12B0">
        <w:t xml:space="preserve">The </w:t>
      </w:r>
      <w:r w:rsidR="00ED3053">
        <w:rPr>
          <w:rFonts w:ascii="Courier New" w:hAnsi="Courier New" w:cs="Courier New"/>
        </w:rPr>
        <w:t>Configuration</w:t>
      </w:r>
      <w:r w:rsidRPr="005B12B0">
        <w:rPr>
          <w:rFonts w:ascii="Courier New" w:hAnsi="Courier New" w:cs="Courier New"/>
        </w:rPr>
        <w:t>Type</w:t>
      </w:r>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640E8E" w:rsidRPr="00C96A2E">
        <w:t xml:space="preserve">Table </w:t>
      </w:r>
      <w:r w:rsidR="00640E8E">
        <w:rPr>
          <w:noProof/>
        </w:rPr>
        <w:t>3</w:t>
      </w:r>
      <w:r w:rsidR="00640E8E">
        <w:noBreakHyphen/>
      </w:r>
      <w:r w:rsidR="00640E8E">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7"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7</w:t>
      </w:r>
      <w:r>
        <w:rPr>
          <w:color w:val="auto"/>
          <w:sz w:val="24"/>
          <w:szCs w:val="24"/>
        </w:rPr>
        <w:fldChar w:fldCharType="end"/>
      </w:r>
      <w:bookmarkEnd w:id="7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r>
              <w:rPr>
                <w:rFonts w:ascii="Courier New" w:hAnsi="Courier New" w:cs="Courier New"/>
                <w:color w:val="000000"/>
                <w:sz w:val="22"/>
                <w:szCs w:val="22"/>
              </w:rPr>
              <w:t>structuring_format</w:t>
            </w:r>
            <w:r>
              <w:rPr>
                <w:rFonts w:ascii="Calibri" w:hAnsi="Calibri"/>
                <w:color w:val="000000"/>
                <w:sz w:val="22"/>
                <w:szCs w:val="22"/>
              </w:rPr>
              <w:t xml:space="preserve"> property of the </w:t>
            </w:r>
            <w:r>
              <w:rPr>
                <w:rFonts w:ascii="Courier New" w:hAnsi="Courier New" w:cs="Courier New"/>
                <w:color w:val="000000"/>
                <w:sz w:val="22"/>
                <w:szCs w:val="22"/>
              </w:rPr>
              <w:t>StructuredTextType</w:t>
            </w:r>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r>
              <w:rPr>
                <w:b/>
                <w:sz w:val="22"/>
              </w:rPr>
              <w:t>Short_Description</w:t>
            </w:r>
          </w:p>
        </w:tc>
        <w:tc>
          <w:tcPr>
            <w:tcW w:w="3780" w:type="dxa"/>
            <w:vAlign w:val="center"/>
          </w:tcPr>
          <w:p w14:paraId="0F5DC18C" w14:textId="0AE6B378" w:rsidR="00DB6A74" w:rsidRDefault="00DB6A74" w:rsidP="00DB6A74">
            <w:pPr>
              <w:rPr>
                <w:rFonts w:ascii="Courier New" w:hAnsi="Courier New" w:cs="Courier New"/>
                <w:sz w:val="20"/>
              </w:rPr>
            </w:pPr>
            <w:r>
              <w:rPr>
                <w:rFonts w:ascii="Courier New" w:hAnsi="Courier New" w:cs="Courier New"/>
                <w:sz w:val="20"/>
              </w:rPr>
              <w:t>stixCommon:StructuredTextType</w:t>
            </w:r>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Short_Description</w:t>
            </w:r>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r>
              <w:rPr>
                <w:rFonts w:ascii="Courier New" w:hAnsi="Courier New" w:cs="Courier New"/>
                <w:sz w:val="20"/>
              </w:rPr>
              <w:t>basicDataTypes:CCE_ID</w:t>
            </w:r>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8" w:name="_Toc398242045"/>
      <w:bookmarkStart w:id="79" w:name="_Toc419122307"/>
      <w:r>
        <w:t>PotentialCOAsType</w:t>
      </w:r>
      <w:r w:rsidR="00D63B60" w:rsidRPr="00844521">
        <w:t xml:space="preserve"> Class</w:t>
      </w:r>
      <w:bookmarkEnd w:id="78"/>
      <w:bookmarkEnd w:id="79"/>
    </w:p>
    <w:p w14:paraId="29355D22" w14:textId="4FFAE210" w:rsidR="00AF2194" w:rsidRDefault="00E179E9" w:rsidP="007070E3">
      <w:pPr>
        <w:spacing w:after="240"/>
      </w:pPr>
      <w:bookmarkStart w:id="80"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r w:rsidRPr="00DA2F68">
        <w:rPr>
          <w:rFonts w:ascii="Courier New" w:hAnsi="Courier New" w:cs="Courier New"/>
        </w:rPr>
        <w:t>GenericRelationShipListType</w:t>
      </w:r>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640E8E" w:rsidRPr="0086379B">
        <w:t xml:space="preserve">Figure </w:t>
      </w:r>
      <w:r w:rsidR="00640E8E">
        <w:rPr>
          <w:noProof/>
        </w:rPr>
        <w:t>3</w:t>
      </w:r>
      <w:r w:rsidR="00640E8E">
        <w:noBreakHyphen/>
      </w:r>
      <w:r w:rsidR="00640E8E">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6">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1"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bookmarkEnd w:id="81"/>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PotentialCOAsType</w:t>
      </w:r>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Table </w:t>
      </w:r>
      <w:r w:rsidR="00640E8E" w:rsidRPr="00640E8E">
        <w:rPr>
          <w:b w:val="0"/>
          <w:noProof/>
          <w:color w:val="auto"/>
          <w:sz w:val="24"/>
          <w:szCs w:val="24"/>
        </w:rPr>
        <w:t>3</w:t>
      </w:r>
      <w:r w:rsidR="00640E8E" w:rsidRPr="00640E8E">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640E8E" w:rsidRPr="00640E8E">
        <w:rPr>
          <w:b w:val="0"/>
          <w:color w:val="auto"/>
          <w:sz w:val="24"/>
          <w:szCs w:val="24"/>
        </w:rPr>
        <w:t xml:space="preserve">Figure </w:t>
      </w:r>
      <w:r w:rsidR="00640E8E" w:rsidRPr="00640E8E">
        <w:rPr>
          <w:b w:val="0"/>
          <w:noProof/>
          <w:color w:val="auto"/>
          <w:sz w:val="24"/>
          <w:szCs w:val="24"/>
        </w:rPr>
        <w:t>3</w:t>
      </w:r>
      <w:r w:rsidR="00640E8E" w:rsidRPr="00640E8E">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2"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8</w:t>
      </w:r>
      <w:r>
        <w:rPr>
          <w:color w:val="auto"/>
          <w:sz w:val="24"/>
          <w:szCs w:val="24"/>
        </w:rPr>
        <w:fldChar w:fldCharType="end"/>
      </w:r>
      <w:bookmarkEnd w:id="82"/>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r>
              <w:rPr>
                <w:b/>
                <w:sz w:val="22"/>
              </w:rPr>
              <w:t>Potential_COA</w:t>
            </w:r>
          </w:p>
        </w:tc>
        <w:tc>
          <w:tcPr>
            <w:tcW w:w="4590" w:type="dxa"/>
            <w:vAlign w:val="center"/>
          </w:tcPr>
          <w:p w14:paraId="4253261C" w14:textId="5C980F43" w:rsidR="00D12A7A" w:rsidRPr="00D05701" w:rsidRDefault="00D12A7A" w:rsidP="00D12A7A">
            <w:pPr>
              <w:rPr>
                <w:rFonts w:ascii="Courier New" w:hAnsi="Courier New" w:cs="Courier New"/>
                <w:sz w:val="20"/>
              </w:rPr>
            </w:pPr>
            <w:r>
              <w:rPr>
                <w:rFonts w:ascii="Courier New" w:hAnsi="Courier New" w:cs="Courier New"/>
                <w:sz w:val="20"/>
              </w:rPr>
              <w:t>stixCommon:RelatedCourseOfActionType</w:t>
            </w:r>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Potential_COA</w:t>
            </w:r>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3" w:name="_Ref397690838"/>
      <w:bookmarkStart w:id="84" w:name="_Toc398242046"/>
      <w:bookmarkStart w:id="85" w:name="_Toc419122308"/>
      <w:bookmarkEnd w:id="80"/>
      <w:r>
        <w:lastRenderedPageBreak/>
        <w:t>RelatedExploitTarge</w:t>
      </w:r>
      <w:r w:rsidR="00C13AED">
        <w:t>ts</w:t>
      </w:r>
      <w:r w:rsidR="00D63B60" w:rsidRPr="00EB58D6">
        <w:t>Type Class</w:t>
      </w:r>
      <w:bookmarkEnd w:id="83"/>
      <w:bookmarkEnd w:id="84"/>
      <w:bookmarkEnd w:id="85"/>
    </w:p>
    <w:p w14:paraId="722C71EB" w14:textId="343B422B" w:rsidR="009E36E4" w:rsidRDefault="009E36E4" w:rsidP="009E36E4">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r w:rsidR="00C13AED">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640E8E" w:rsidRPr="0086379B">
        <w:t xml:space="preserve">Figure </w:t>
      </w:r>
      <w:r w:rsidR="00640E8E">
        <w:rPr>
          <w:noProof/>
        </w:rPr>
        <w:t>3</w:t>
      </w:r>
      <w:r w:rsidR="00640E8E">
        <w:noBreakHyphen/>
      </w:r>
      <w:r w:rsidR="00640E8E">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7">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6"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640E8E">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640E8E">
        <w:rPr>
          <w:noProof/>
          <w:color w:val="auto"/>
          <w:sz w:val="24"/>
          <w:szCs w:val="24"/>
        </w:rPr>
        <w:t>4</w:t>
      </w:r>
      <w:r w:rsidR="00A70778">
        <w:rPr>
          <w:color w:val="auto"/>
          <w:sz w:val="24"/>
          <w:szCs w:val="24"/>
        </w:rPr>
        <w:fldChar w:fldCharType="end"/>
      </w:r>
      <w:bookmarkEnd w:id="86"/>
      <w:r>
        <w:rPr>
          <w:color w:val="auto"/>
          <w:sz w:val="24"/>
          <w:szCs w:val="24"/>
        </w:rPr>
        <w:t xml:space="preserve">. </w:t>
      </w:r>
      <w:r>
        <w:rPr>
          <w:b w:val="0"/>
          <w:color w:val="auto"/>
          <w:sz w:val="24"/>
          <w:szCs w:val="24"/>
        </w:rPr>
        <w:t xml:space="preserve">UML diagram of the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Pr>
          <w:b w:val="0"/>
          <w:color w:val="auto"/>
          <w:sz w:val="24"/>
          <w:szCs w:val="24"/>
        </w:rPr>
        <w:t xml:space="preserve"> class</w:t>
      </w:r>
    </w:p>
    <w:p w14:paraId="25809A4E" w14:textId="77777777" w:rsidR="00680B9E" w:rsidRDefault="00680B9E">
      <w:r>
        <w:br w:type="page"/>
      </w:r>
    </w:p>
    <w:p w14:paraId="1CA7401E" w14:textId="1C3E84FD" w:rsidR="009E36E4" w:rsidRDefault="00D63B60" w:rsidP="009E36E4">
      <w:pPr>
        <w:spacing w:after="240"/>
      </w:pPr>
      <w:r>
        <w:lastRenderedPageBreak/>
        <w:t xml:space="preserve">The </w:t>
      </w:r>
      <w:r w:rsidR="009E36E4">
        <w:t xml:space="preserve">property table given in </w:t>
      </w:r>
      <w:r>
        <w:fldChar w:fldCharType="begin"/>
      </w:r>
      <w:r>
        <w:instrText xml:space="preserve"> REF _Ref397247113 \h </w:instrText>
      </w:r>
      <w:r>
        <w:fldChar w:fldCharType="separate"/>
      </w:r>
      <w:r w:rsidR="00640E8E" w:rsidRPr="00C96A2E">
        <w:t xml:space="preserve">Table </w:t>
      </w:r>
      <w:r w:rsidR="00640E8E">
        <w:rPr>
          <w:noProof/>
        </w:rPr>
        <w:t>3</w:t>
      </w:r>
      <w:r w:rsidR="00640E8E">
        <w:noBreakHyphen/>
      </w:r>
      <w:r w:rsidR="00640E8E">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640E8E" w:rsidRPr="0086379B">
        <w:t xml:space="preserve">Figure </w:t>
      </w:r>
      <w:r w:rsidR="00640E8E">
        <w:rPr>
          <w:noProof/>
        </w:rPr>
        <w:t>3</w:t>
      </w:r>
      <w:r w:rsidR="00640E8E">
        <w:noBreakHyphen/>
      </w:r>
      <w:r w:rsidR="00640E8E">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7"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640E8E">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640E8E">
        <w:rPr>
          <w:noProof/>
          <w:color w:val="auto"/>
          <w:sz w:val="24"/>
          <w:szCs w:val="24"/>
        </w:rPr>
        <w:t>9</w:t>
      </w:r>
      <w:r>
        <w:rPr>
          <w:color w:val="auto"/>
          <w:sz w:val="24"/>
          <w:szCs w:val="24"/>
        </w:rPr>
        <w:fldChar w:fldCharType="end"/>
      </w:r>
      <w:bookmarkEnd w:id="8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8" w:name="_Toc389570600"/>
      <w:bookmarkStart w:id="89" w:name="_Toc389581070"/>
      <w:bookmarkStart w:id="90" w:name="_Toc391386568"/>
    </w:p>
    <w:p w14:paraId="36808528" w14:textId="43E6DF20" w:rsidR="001A5389" w:rsidRDefault="001A5389" w:rsidP="001A5389">
      <w:pPr>
        <w:pStyle w:val="Heading1"/>
        <w:numPr>
          <w:ilvl w:val="0"/>
          <w:numId w:val="0"/>
        </w:numPr>
        <w:ind w:left="360" w:hanging="360"/>
      </w:pPr>
      <w:bookmarkStart w:id="91" w:name="_Toc419122309"/>
      <w:bookmarkEnd w:id="88"/>
      <w:bookmarkEnd w:id="89"/>
      <w:bookmarkEnd w:id="90"/>
      <w:r>
        <w:lastRenderedPageBreak/>
        <w:t>References</w:t>
      </w:r>
      <w:bookmarkEnd w:id="91"/>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432BE2FF" w14:textId="70DE70C4" w:rsidR="00BE6C78" w:rsidRPr="00D40199" w:rsidRDefault="003A489B" w:rsidP="00BE6C78">
      <w:pPr>
        <w:pStyle w:val="Default"/>
        <w:keepNext/>
        <w:keepLines/>
      </w:pPr>
      <w:bookmarkStart w:id="92" w:name="_GoBack"/>
      <w:bookmarkEnd w:id="92"/>
      <w:r w:rsidRPr="00D40199">
        <w:t xml:space="preserve"> </w:t>
      </w:r>
      <w:r w:rsidR="00BE6C78" w:rsidRPr="00D40199">
        <w:t xml:space="preserve">[RFC2119] </w:t>
      </w:r>
      <w:r w:rsidR="00BE6C78" w:rsidRPr="00D40199">
        <w:tab/>
        <w:t xml:space="preserve">RFC 2119 – Key words for use in RFCs to Indicate Requirement Levels </w:t>
      </w:r>
    </w:p>
    <w:p w14:paraId="05B028C2" w14:textId="77777777" w:rsidR="00BE6C78" w:rsidRPr="00D40199" w:rsidRDefault="003A489B" w:rsidP="00BE6C78">
      <w:pPr>
        <w:keepNext/>
        <w:keepLines/>
        <w:ind w:left="720" w:firstLine="720"/>
      </w:pPr>
      <w:hyperlink r:id="rId3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9"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0"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1"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3A489B" w:rsidP="00207121">
      <w:pPr>
        <w:autoSpaceDE w:val="0"/>
        <w:autoSpaceDN w:val="0"/>
        <w:ind w:left="720" w:firstLine="720"/>
        <w:rPr>
          <w:rFonts w:ascii="Calibri" w:hAnsi="Calibri" w:cs="Times New Roman"/>
          <w:sz w:val="22"/>
          <w:szCs w:val="22"/>
        </w:rPr>
      </w:pPr>
      <w:hyperlink r:id="rId45"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3AFA06" w14:textId="77777777" w:rsidR="00600346" w:rsidRDefault="00600346" w:rsidP="00126F8F">
      <w:r>
        <w:separator/>
      </w:r>
    </w:p>
  </w:endnote>
  <w:endnote w:type="continuationSeparator" w:id="0">
    <w:p w14:paraId="76BC9556" w14:textId="77777777" w:rsidR="00600346" w:rsidRDefault="00600346" w:rsidP="00126F8F">
      <w:r>
        <w:continuationSeparator/>
      </w:r>
    </w:p>
  </w:endnote>
  <w:endnote w:type="continuationNotice" w:id="1">
    <w:p w14:paraId="66416983" w14:textId="77777777" w:rsidR="00600346" w:rsidRDefault="006003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6A1F92">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7B792" w14:textId="77777777" w:rsidR="00E9004A" w:rsidRDefault="00E9004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6A1F92">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3A489B">
          <w:rPr>
            <w:noProof/>
          </w:rPr>
          <w:t>20</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997B20" w14:textId="77777777" w:rsidR="00600346" w:rsidRDefault="00600346" w:rsidP="00126F8F">
      <w:r>
        <w:separator/>
      </w:r>
    </w:p>
  </w:footnote>
  <w:footnote w:type="continuationSeparator" w:id="0">
    <w:p w14:paraId="7141F74C" w14:textId="77777777" w:rsidR="00600346" w:rsidRDefault="00600346" w:rsidP="00126F8F">
      <w:r>
        <w:continuationSeparator/>
      </w:r>
    </w:p>
  </w:footnote>
  <w:footnote w:type="continuationNotice" w:id="1">
    <w:p w14:paraId="7A8F66ED" w14:textId="77777777" w:rsidR="00600346" w:rsidRDefault="00600346"/>
  </w:footnote>
  <w:footnote w:id="2">
    <w:p w14:paraId="0CBD2DB0"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detailed information see [TOU]. </w:t>
      </w:r>
    </w:p>
  </w:footnote>
  <w:footnote w:id="3">
    <w:p w14:paraId="508E6AD7" w14:textId="77777777" w:rsidR="009508A1" w:rsidRPr="00680B9E" w:rsidRDefault="009508A1">
      <w:pPr>
        <w:pStyle w:val="FootnoteText"/>
        <w:rPr>
          <w:sz w:val="20"/>
        </w:rPr>
      </w:pPr>
      <w:r w:rsidRPr="00680B9E">
        <w:rPr>
          <w:rStyle w:val="FootnoteReference"/>
          <w:sz w:val="20"/>
        </w:rPr>
        <w:footnoteRef/>
      </w:r>
      <w:r w:rsidRPr="00680B9E">
        <w:rPr>
          <w:sz w:val="20"/>
        </w:rPr>
        <w:t xml:space="preserve"> For more information about the STIX Language, please visit [STIX]. </w:t>
      </w:r>
    </w:p>
  </w:footnote>
  <w:footnote w:id="4">
    <w:p w14:paraId="6137E8C1" w14:textId="68EC421A" w:rsidR="00EA5E11" w:rsidRPr="00680B9E" w:rsidRDefault="00EA5E11">
      <w:pPr>
        <w:pStyle w:val="FootnoteText"/>
        <w:rPr>
          <w:sz w:val="20"/>
        </w:rPr>
      </w:pPr>
      <w:r w:rsidRPr="00680B9E">
        <w:rPr>
          <w:rStyle w:val="FootnoteReference"/>
          <w:sz w:val="20"/>
        </w:rPr>
        <w:footnoteRef/>
      </w:r>
      <w:r w:rsidRPr="00680B9E">
        <w:rPr>
          <w:sz w:val="20"/>
        </w:rPr>
        <w:t xml:space="preserve"> The CybOX Observable data model is actually defined in the CybOX Language, not in STIX</w:t>
      </w:r>
      <w:r w:rsidR="00B5208F" w:rsidRPr="00680B9E">
        <w:rPr>
          <w:sz w:val="20"/>
        </w:rPr>
        <w:t>.</w:t>
      </w:r>
    </w:p>
  </w:footnote>
  <w:footnote w:id="5">
    <w:p w14:paraId="7BC10894" w14:textId="3AD876A7" w:rsidR="009508A1" w:rsidRPr="00680B9E" w:rsidRDefault="009508A1">
      <w:pPr>
        <w:pStyle w:val="FootnoteText"/>
        <w:rPr>
          <w:sz w:val="20"/>
        </w:rPr>
      </w:pPr>
      <w:r w:rsidRPr="00680B9E">
        <w:rPr>
          <w:rStyle w:val="FootnoteReference"/>
          <w:sz w:val="20"/>
        </w:rPr>
        <w:footnoteRef/>
      </w:r>
      <w:r w:rsidRPr="00680B9E">
        <w:rPr>
          <w:sz w:val="20"/>
        </w:rPr>
        <w:t xml:space="preserve"> There is no UML model defined for the CVRF; it is outside the scope of the STIX 1.1.1 specification.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20BD2" w14:textId="77777777" w:rsidR="00E9004A" w:rsidRDefault="00E900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02FC"/>
    <w:rsid w:val="000B12CE"/>
    <w:rsid w:val="000B1AFC"/>
    <w:rsid w:val="000B2071"/>
    <w:rsid w:val="000B240B"/>
    <w:rsid w:val="000B33ED"/>
    <w:rsid w:val="000B3506"/>
    <w:rsid w:val="000B381D"/>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A6C"/>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549"/>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4F8"/>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89B"/>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79A"/>
    <w:rsid w:val="003E0C03"/>
    <w:rsid w:val="003E0CF6"/>
    <w:rsid w:val="003E0D83"/>
    <w:rsid w:val="003E0FF4"/>
    <w:rsid w:val="003E1201"/>
    <w:rsid w:val="003E15DF"/>
    <w:rsid w:val="003E196F"/>
    <w:rsid w:val="003E1AAE"/>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46"/>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70C"/>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0E8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B9E"/>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1F92"/>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B4B"/>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9E5"/>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18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6CF5"/>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5CE"/>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37C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4B2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4FBD"/>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1D2"/>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08F"/>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0F55"/>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6B6D"/>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04A"/>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5E11"/>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425"/>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6.png"/><Relationship Id="rId39" Type="http://schemas.openxmlformats.org/officeDocument/2006/relationships/hyperlink" Target="https://stix.mitre.org"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10.png"/><Relationship Id="rId42" Type="http://schemas.openxmlformats.org/officeDocument/2006/relationships/hyperlink" Target="http://stix.mitre.org/about/documents/XXXX.pdf"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footer" Target="footer6.xml"/><Relationship Id="rId38" Type="http://schemas.openxmlformats.org/officeDocument/2006/relationships/hyperlink" Target="http://www.ietf.org/rfc/rfc2119.txt"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cid:image003.png@01CFC8F2.37AD2A50" TargetMode="External"/><Relationship Id="rId29" Type="http://schemas.openxmlformats.org/officeDocument/2006/relationships/oleObject" Target="embeddings/oleObject4.bin"/><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hyperlink" Target="http://stixproject.github.io/data-model/1.1.1/coa/CourseOfActionType" TargetMode="External"/><Relationship Id="rId37" Type="http://schemas.openxmlformats.org/officeDocument/2006/relationships/image" Target="media/image13.png"/><Relationship Id="rId40" Type="http://schemas.openxmlformats.org/officeDocument/2006/relationships/hyperlink" Target="http://github.com/STIXProject/specifications" TargetMode="External"/><Relationship Id="rId45" Type="http://schemas.openxmlformats.org/officeDocument/2006/relationships/hyperlink" Target="http://stix.mitre.org/about/termsofuse.html"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image" Target="media/image2.gif"/><Relationship Id="rId31" Type="http://schemas.openxmlformats.org/officeDocument/2006/relationships/image" Target="media/image9.jpeg"/><Relationship Id="rId44" Type="http://schemas.openxmlformats.org/officeDocument/2006/relationships/hyperlink" Target="http://stix.mitre.org/about/documents/XXXX.pdf"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oleObject" Target="embeddings/oleObject1.bin"/><Relationship Id="rId27" Type="http://schemas.openxmlformats.org/officeDocument/2006/relationships/oleObject" Target="embeddings/oleObject3.bin"/><Relationship Id="rId30" Type="http://schemas.openxmlformats.org/officeDocument/2006/relationships/image" Target="media/image8.png"/><Relationship Id="rId35" Type="http://schemas.openxmlformats.org/officeDocument/2006/relationships/image" Target="media/image11.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76670-732F-4530-A06D-9025F3EA5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4586</Words>
  <Characters>32421</Characters>
  <Application>Microsoft Office Word</Application>
  <DocSecurity>0</DocSecurity>
  <Lines>270</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36934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2015-06-03T18:31:00Z</dcterms:created>
  <dcterms:modified xsi:type="dcterms:W3CDTF">2015-06-10T01:19:00Z</dcterms:modified>
</cp:coreProperties>
</file>