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20" w:line="276" w:lineRule="auto"/>
        <w:jc w:val="center"/>
        <w:rPr/>
      </w:pPr>
      <w:bookmarkStart w:colFirst="0" w:colLast="0" w:name="_heading=h.gjdgxs" w:id="0"/>
      <w:bookmarkEnd w:id="0"/>
      <w:r w:rsidDel="00000000" w:rsidR="00000000" w:rsidRPr="00000000">
        <w:rPr/>
        <w:drawing>
          <wp:inline distB="0" distT="0" distL="0" distR="0">
            <wp:extent cx="2401824" cy="1048512"/>
            <wp:effectExtent b="0" l="0" r="0" t="0"/>
            <wp:docPr id="1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401824" cy="10485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60" w:before="20" w:line="276" w:lineRule="auto"/>
        <w:jc w:val="center"/>
        <w:rPr/>
      </w:pPr>
      <w:r w:rsidDel="00000000" w:rsidR="00000000" w:rsidRPr="00000000">
        <w:rPr>
          <w:rtl w:val="0"/>
        </w:rPr>
        <w:t xml:space="preserve">Genética</w:t>
      </w:r>
    </w:p>
    <w:p w:rsidR="00000000" w:rsidDel="00000000" w:rsidP="00000000" w:rsidRDefault="00000000" w:rsidRPr="00000000" w14:paraId="00000003">
      <w:pPr>
        <w:pStyle w:val="Title"/>
        <w:spacing w:after="60" w:before="20" w:line="276" w:lineRule="auto"/>
        <w:jc w:val="center"/>
        <w:rPr>
          <w:sz w:val="44"/>
          <w:szCs w:val="44"/>
        </w:rPr>
      </w:pPr>
      <w:bookmarkStart w:colFirst="0" w:colLast="0" w:name="_heading=h.30j0zll" w:id="1"/>
      <w:bookmarkEnd w:id="1"/>
      <w:r w:rsidDel="00000000" w:rsidR="00000000" w:rsidRPr="00000000">
        <w:rPr>
          <w:sz w:val="44"/>
          <w:szCs w:val="44"/>
          <w:rtl w:val="0"/>
        </w:rPr>
        <w:t xml:space="preserve">Año: 2021</w:t>
      </w:r>
    </w:p>
    <w:p w:rsidR="00000000" w:rsidDel="00000000" w:rsidP="00000000" w:rsidRDefault="00000000" w:rsidRPr="00000000" w14:paraId="00000004">
      <w:pPr>
        <w:pStyle w:val="Title"/>
        <w:spacing w:after="60" w:before="20" w:line="276" w:lineRule="auto"/>
        <w:jc w:val="center"/>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pStyle w:val="Title"/>
        <w:spacing w:after="60" w:before="20" w:line="276" w:lineRule="auto"/>
        <w:jc w:val="center"/>
        <w:rPr>
          <w:sz w:val="44"/>
          <w:szCs w:val="44"/>
        </w:rPr>
      </w:pPr>
      <w:bookmarkStart w:colFirst="0" w:colLast="0" w:name="_heading=h.3znysh7" w:id="3"/>
      <w:bookmarkEnd w:id="3"/>
      <w:r w:rsidDel="00000000" w:rsidR="00000000" w:rsidRPr="00000000">
        <w:rPr>
          <w:sz w:val="44"/>
          <w:szCs w:val="44"/>
          <w:rtl w:val="0"/>
        </w:rPr>
        <w:t xml:space="preserve">Trabajo Integrador Final</w:t>
      </w:r>
    </w:p>
    <w:p w:rsidR="00000000" w:rsidDel="00000000" w:rsidP="00000000" w:rsidRDefault="00000000" w:rsidRPr="00000000" w14:paraId="00000006">
      <w:pPr>
        <w:spacing w:after="60" w:before="20" w:line="276" w:lineRule="auto"/>
        <w:jc w:val="center"/>
        <w:rPr>
          <w:sz w:val="40"/>
          <w:szCs w:val="40"/>
        </w:rPr>
      </w:pPr>
      <w:r w:rsidDel="00000000" w:rsidR="00000000" w:rsidRPr="00000000">
        <w:rPr>
          <w:sz w:val="40"/>
          <w:szCs w:val="40"/>
          <w:rtl w:val="0"/>
        </w:rPr>
        <w:t xml:space="preserve">“Herramienta para el estudio de la evolución del virus del SARS-COV-2”</w:t>
      </w:r>
    </w:p>
    <w:p w:rsidR="00000000" w:rsidDel="00000000" w:rsidP="00000000" w:rsidRDefault="00000000" w:rsidRPr="00000000" w14:paraId="00000007">
      <w:pPr>
        <w:spacing w:after="60" w:before="20" w:line="276" w:lineRule="auto"/>
        <w:jc w:val="center"/>
        <w:rPr/>
      </w:pPr>
      <w:r w:rsidDel="00000000" w:rsidR="00000000" w:rsidRPr="00000000">
        <w:rPr>
          <w:rtl w:val="0"/>
        </w:rPr>
      </w:r>
    </w:p>
    <w:p w:rsidR="00000000" w:rsidDel="00000000" w:rsidP="00000000" w:rsidRDefault="00000000" w:rsidRPr="00000000" w14:paraId="00000008">
      <w:pPr>
        <w:pStyle w:val="Title"/>
        <w:spacing w:after="60" w:before="20" w:line="276" w:lineRule="auto"/>
        <w:jc w:val="center"/>
        <w:rPr>
          <w:sz w:val="28"/>
          <w:szCs w:val="28"/>
        </w:rPr>
      </w:pPr>
      <w:bookmarkStart w:colFirst="0" w:colLast="0" w:name="_heading=h.2et92p0" w:id="4"/>
      <w:bookmarkEnd w:id="4"/>
      <w:r w:rsidDel="00000000" w:rsidR="00000000" w:rsidRPr="00000000">
        <w:rPr>
          <w:sz w:val="28"/>
          <w:szCs w:val="28"/>
        </w:rPr>
        <w:drawing>
          <wp:inline distB="114300" distT="114300" distL="114300" distR="114300">
            <wp:extent cx="4411500" cy="2134110"/>
            <wp:effectExtent b="12700" l="12700" r="12700" t="12700"/>
            <wp:docPr descr="Enfermedad por coronavirus (COVID-19) y VIH: Asuntos y acciones clave -  OPS/OMS | Organización Panamericana de la Salud" id="17" name="image7.jpg"/>
            <a:graphic>
              <a:graphicData uri="http://schemas.openxmlformats.org/drawingml/2006/picture">
                <pic:pic>
                  <pic:nvPicPr>
                    <pic:cNvPr descr="Enfermedad por coronavirus (COVID-19) y VIH: Asuntos y acciones clave -  OPS/OMS | Organización Panamericana de la Salud" id="0" name="image7.jpg"/>
                    <pic:cNvPicPr preferRelativeResize="0"/>
                  </pic:nvPicPr>
                  <pic:blipFill>
                    <a:blip r:embed="rId10"/>
                    <a:srcRect b="0" l="0" r="0" t="0"/>
                    <a:stretch>
                      <a:fillRect/>
                    </a:stretch>
                  </pic:blipFill>
                  <pic:spPr>
                    <a:xfrm>
                      <a:off x="0" y="0"/>
                      <a:ext cx="4411500" cy="21341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pStyle w:val="Title"/>
        <w:spacing w:after="60" w:before="20" w:line="276" w:lineRule="auto"/>
        <w:jc w:val="center"/>
        <w:rPr>
          <w:sz w:val="28"/>
          <w:szCs w:val="28"/>
        </w:rPr>
      </w:pPr>
      <w:r w:rsidDel="00000000" w:rsidR="00000000" w:rsidRPr="00000000">
        <w:rPr>
          <w:sz w:val="28"/>
          <w:szCs w:val="28"/>
          <w:rtl w:val="0"/>
        </w:rPr>
        <w:t xml:space="preserve">Salim Taleb, Nasim A; Tolley, Rocio M</w:t>
      </w:r>
    </w:p>
    <w:p w:rsidR="00000000" w:rsidDel="00000000" w:rsidP="00000000" w:rsidRDefault="00000000" w:rsidRPr="00000000" w14:paraId="0000000A">
      <w:pPr>
        <w:spacing w:after="60" w:before="20" w:line="276" w:lineRule="auto"/>
        <w:rPr/>
      </w:pPr>
      <w:r w:rsidDel="00000000" w:rsidR="00000000" w:rsidRPr="00000000">
        <w:rPr>
          <w:rtl w:val="0"/>
        </w:rPr>
      </w:r>
    </w:p>
    <w:p w:rsidR="00000000" w:rsidDel="00000000" w:rsidP="00000000" w:rsidRDefault="00000000" w:rsidRPr="00000000" w14:paraId="0000000B">
      <w:pPr>
        <w:spacing w:after="60" w:before="20" w:line="276" w:lineRule="auto"/>
        <w:rPr/>
      </w:pPr>
      <w:r w:rsidDel="00000000" w:rsidR="00000000" w:rsidRPr="00000000">
        <w:rPr>
          <w:rtl w:val="0"/>
        </w:rPr>
      </w:r>
    </w:p>
    <w:p w:rsidR="00000000" w:rsidDel="00000000" w:rsidP="00000000" w:rsidRDefault="00000000" w:rsidRPr="00000000" w14:paraId="0000000C">
      <w:pPr>
        <w:pStyle w:val="Title"/>
        <w:spacing w:after="60" w:before="20" w:line="276" w:lineRule="auto"/>
        <w:jc w:val="center"/>
        <w:rPr>
          <w:sz w:val="28"/>
          <w:szCs w:val="28"/>
        </w:rPr>
      </w:pPr>
      <w:bookmarkStart w:colFirst="0" w:colLast="0" w:name="_heading=h.tyjcwt" w:id="5"/>
      <w:bookmarkEnd w:id="5"/>
      <w:r w:rsidDel="00000000" w:rsidR="00000000" w:rsidRPr="00000000">
        <w:rPr>
          <w:rtl w:val="0"/>
        </w:rPr>
      </w:r>
    </w:p>
    <w:p w:rsidR="00000000" w:rsidDel="00000000" w:rsidP="00000000" w:rsidRDefault="00000000" w:rsidRPr="00000000" w14:paraId="0000000D">
      <w:pPr>
        <w:pStyle w:val="Title"/>
        <w:spacing w:after="60" w:before="20" w:line="276" w:lineRule="auto"/>
        <w:jc w:val="center"/>
        <w:rPr>
          <w:sz w:val="28"/>
          <w:szCs w:val="28"/>
        </w:rPr>
      </w:pPr>
      <w:r w:rsidDel="00000000" w:rsidR="00000000" w:rsidRPr="00000000">
        <w:rPr>
          <w:sz w:val="28"/>
          <w:szCs w:val="28"/>
          <w:rtl w:val="0"/>
        </w:rPr>
        <w:t xml:space="preserve">Docentes: Schierloh, Pablo; Machtey, Matias.</w:t>
      </w:r>
    </w:p>
    <w:p w:rsidR="00000000" w:rsidDel="00000000" w:rsidP="00000000" w:rsidRDefault="00000000" w:rsidRPr="00000000" w14:paraId="0000000E">
      <w:pPr>
        <w:spacing w:after="60" w:before="20" w:line="276" w:lineRule="auto"/>
        <w:rPr/>
      </w:pPr>
      <w:r w:rsidDel="00000000" w:rsidR="00000000" w:rsidRPr="00000000">
        <w:rPr>
          <w:rtl w:val="0"/>
        </w:rPr>
      </w:r>
    </w:p>
    <w:p w:rsidR="00000000" w:rsidDel="00000000" w:rsidP="00000000" w:rsidRDefault="00000000" w:rsidRPr="00000000" w14:paraId="0000000F">
      <w:pPr>
        <w:spacing w:after="60" w:before="20" w:line="276" w:lineRule="auto"/>
        <w:jc w:val="center"/>
        <w:rPr>
          <w:sz w:val="28"/>
          <w:szCs w:val="28"/>
        </w:rPr>
      </w:pPr>
      <w:r w:rsidDel="00000000" w:rsidR="00000000" w:rsidRPr="00000000">
        <w:rPr>
          <w:rtl w:val="0"/>
        </w:rPr>
      </w:r>
    </w:p>
    <w:p w:rsidR="00000000" w:rsidDel="00000000" w:rsidP="00000000" w:rsidRDefault="00000000" w:rsidRPr="00000000" w14:paraId="00000010">
      <w:pPr>
        <w:spacing w:after="60" w:before="20" w:line="276" w:lineRule="auto"/>
        <w:jc w:val="center"/>
        <w:rPr>
          <w:sz w:val="28"/>
          <w:szCs w:val="28"/>
        </w:rPr>
      </w:pPr>
      <w:r w:rsidDel="00000000" w:rsidR="00000000" w:rsidRPr="00000000">
        <w:rPr>
          <w:rtl w:val="0"/>
        </w:rPr>
      </w:r>
    </w:p>
    <w:p w:rsidR="00000000" w:rsidDel="00000000" w:rsidP="00000000" w:rsidRDefault="00000000" w:rsidRPr="00000000" w14:paraId="00000011">
      <w:pPr>
        <w:spacing w:after="60" w:before="20" w:line="276" w:lineRule="auto"/>
        <w:jc w:val="center"/>
        <w:rPr>
          <w:sz w:val="28"/>
          <w:szCs w:val="28"/>
        </w:rPr>
      </w:pPr>
      <w:r w:rsidDel="00000000" w:rsidR="00000000" w:rsidRPr="00000000">
        <w:rPr>
          <w:sz w:val="28"/>
          <w:szCs w:val="28"/>
          <w:rtl w:val="0"/>
        </w:rPr>
        <w:t xml:space="preserve">Carrera: Lic. en Bioinformática</w:t>
      </w:r>
    </w:p>
    <w:p w:rsidR="00000000" w:rsidDel="00000000" w:rsidP="00000000" w:rsidRDefault="00000000" w:rsidRPr="00000000" w14:paraId="00000012">
      <w:pPr>
        <w:pStyle w:val="Heading1"/>
        <w:spacing w:after="60" w:before="20" w:line="276" w:lineRule="auto"/>
        <w:rPr/>
      </w:pPr>
      <w:bookmarkStart w:colFirst="0" w:colLast="0" w:name="_heading=h.qytwz47s1kqv" w:id="6"/>
      <w:bookmarkEnd w:id="6"/>
      <w:r w:rsidDel="00000000" w:rsidR="00000000" w:rsidRPr="00000000">
        <w:rPr>
          <w:rtl w:val="0"/>
        </w:rPr>
        <w:t xml:space="preserve">Introducción al problema</w:t>
      </w:r>
    </w:p>
    <w:p w:rsidR="00000000" w:rsidDel="00000000" w:rsidP="00000000" w:rsidRDefault="00000000" w:rsidRPr="00000000" w14:paraId="00000013">
      <w:pPr>
        <w:spacing w:after="60" w:before="20" w:line="276" w:lineRule="auto"/>
        <w:jc w:val="both"/>
        <w:rPr/>
      </w:pPr>
      <w:r w:rsidDel="00000000" w:rsidR="00000000" w:rsidRPr="00000000">
        <w:rPr>
          <w:rtl w:val="0"/>
        </w:rPr>
        <w:t xml:space="preserve">El alto grado de infecciosidad del SARS-COV-2 ha llevado a su amplia distribución y elevado número de casos a nivel mundial de la enfermedad, lo que implica una proliferación desmedida del virus [</w:t>
      </w:r>
      <w:hyperlink r:id="rId11">
        <w:r w:rsidDel="00000000" w:rsidR="00000000" w:rsidRPr="00000000">
          <w:rPr>
            <w:color w:val="1155cc"/>
            <w:u w:val="single"/>
            <w:rtl w:val="0"/>
          </w:rPr>
          <w:t xml:space="preserve">1</w:t>
        </w:r>
      </w:hyperlink>
      <w:r w:rsidDel="00000000" w:rsidR="00000000" w:rsidRPr="00000000">
        <w:rPr>
          <w:rtl w:val="0"/>
        </w:rPr>
        <w:t xml:space="preserve">]. En las sucesivas replicaciones, pueden darse mutaciones que alteren aspectos del mismo, llevando a cambios que, mientras que en su mayoría resultan perjudiciales para la viabilidad del virón, pueden conducir a variantes más infecciosas o letales [</w:t>
      </w:r>
      <w:hyperlink r:id="rId12">
        <w:r w:rsidDel="00000000" w:rsidR="00000000" w:rsidRPr="00000000">
          <w:rPr>
            <w:color w:val="1155cc"/>
            <w:u w:val="single"/>
            <w:rtl w:val="0"/>
          </w:rPr>
          <w:t xml:space="preserve">1</w:t>
        </w:r>
      </w:hyperlink>
      <w:r w:rsidDel="00000000" w:rsidR="00000000" w:rsidRPr="00000000">
        <w:rPr>
          <w:rtl w:val="0"/>
        </w:rPr>
        <w:t xml:space="preserve">,</w:t>
      </w:r>
      <w:hyperlink r:id="rId13">
        <w:r w:rsidDel="00000000" w:rsidR="00000000" w:rsidRPr="00000000">
          <w:rPr>
            <w:color w:val="1155cc"/>
            <w:u w:val="single"/>
            <w:rtl w:val="0"/>
          </w:rPr>
          <w:t xml:space="preserve">2</w:t>
        </w:r>
      </w:hyperlink>
      <w:r w:rsidDel="00000000" w:rsidR="00000000" w:rsidRPr="00000000">
        <w:rPr>
          <w:rtl w:val="0"/>
        </w:rPr>
        <w:t xml:space="preserve">]. Si suficientes mutaciones logran acumularse en ciertas secuencias codificantes, en particular de la glicoproteína de superficie S, conocida como la proteína ‘spike’, es posible que surjan variantes que evadan los efectos de las vacunas desarrolladas hasta el momento [</w:t>
      </w:r>
      <w:hyperlink r:id="rId14">
        <w:r w:rsidDel="00000000" w:rsidR="00000000" w:rsidRPr="00000000">
          <w:rPr>
            <w:color w:val="1155cc"/>
            <w:u w:val="single"/>
            <w:rtl w:val="0"/>
          </w:rPr>
          <w:t xml:space="preserve">2</w:t>
        </w:r>
      </w:hyperlink>
      <w:r w:rsidDel="00000000" w:rsidR="00000000" w:rsidRPr="00000000">
        <w:rPr>
          <w:rtl w:val="0"/>
        </w:rPr>
        <w:t xml:space="preserve">,</w:t>
      </w:r>
      <w:hyperlink r:id="rId15">
        <w:r w:rsidDel="00000000" w:rsidR="00000000" w:rsidRPr="00000000">
          <w:rPr>
            <w:color w:val="1155cc"/>
            <w:u w:val="single"/>
            <w:rtl w:val="0"/>
          </w:rPr>
          <w:t xml:space="preserve">3</w:t>
        </w:r>
      </w:hyperlink>
      <w:r w:rsidDel="00000000" w:rsidR="00000000" w:rsidRPr="00000000">
        <w:rPr>
          <w:rtl w:val="0"/>
        </w:rPr>
        <w:t xml:space="preserve">]. </w:t>
      </w:r>
    </w:p>
    <w:p w:rsidR="00000000" w:rsidDel="00000000" w:rsidP="00000000" w:rsidRDefault="00000000" w:rsidRPr="00000000" w14:paraId="00000014">
      <w:pPr>
        <w:spacing w:after="60" w:before="20" w:line="276" w:lineRule="auto"/>
        <w:jc w:val="both"/>
        <w:rPr/>
      </w:pPr>
      <w:r w:rsidDel="00000000" w:rsidR="00000000" w:rsidRPr="00000000">
        <w:rPr>
          <w:rtl w:val="0"/>
        </w:rPr>
        <w:t xml:space="preserve">Por lo tanto, resulta de interés monitorear las mutaciones encontradas en las secuencias del virus, y analizar si existe cierta tendencia a presentar mutaciones en regiones específicas, o si puede demostrarse un impacto en las presiones selectivas del virus al encontrarse gran parte de la población vacunada.</w:t>
      </w:r>
    </w:p>
    <w:p w:rsidR="00000000" w:rsidDel="00000000" w:rsidP="00000000" w:rsidRDefault="00000000" w:rsidRPr="00000000" w14:paraId="00000015">
      <w:pPr>
        <w:spacing w:after="60" w:before="20" w:line="276" w:lineRule="auto"/>
        <w:rPr/>
      </w:pPr>
      <w:r w:rsidDel="00000000" w:rsidR="00000000" w:rsidRPr="00000000">
        <w:rPr>
          <w:rtl w:val="0"/>
        </w:rPr>
      </w:r>
    </w:p>
    <w:p w:rsidR="00000000" w:rsidDel="00000000" w:rsidP="00000000" w:rsidRDefault="00000000" w:rsidRPr="00000000" w14:paraId="00000016">
      <w:pPr>
        <w:pStyle w:val="Heading1"/>
        <w:spacing w:after="60" w:before="20" w:line="276" w:lineRule="auto"/>
        <w:jc w:val="both"/>
        <w:rPr/>
      </w:pPr>
      <w:bookmarkStart w:colFirst="0" w:colLast="0" w:name="_heading=h.mk1n8vz95y11" w:id="7"/>
      <w:bookmarkEnd w:id="7"/>
      <w:r w:rsidDel="00000000" w:rsidR="00000000" w:rsidRPr="00000000">
        <w:rPr>
          <w:rtl w:val="0"/>
        </w:rPr>
        <w:t xml:space="preserve">Objetivo</w:t>
      </w:r>
    </w:p>
    <w:p w:rsidR="00000000" w:rsidDel="00000000" w:rsidP="00000000" w:rsidRDefault="00000000" w:rsidRPr="00000000" w14:paraId="00000017">
      <w:pPr>
        <w:spacing w:after="60" w:before="20" w:line="276" w:lineRule="auto"/>
        <w:jc w:val="both"/>
        <w:rPr/>
      </w:pPr>
      <w:r w:rsidDel="00000000" w:rsidR="00000000" w:rsidRPr="00000000">
        <w:rPr>
          <w:rtl w:val="0"/>
        </w:rPr>
      </w:r>
    </w:p>
    <w:p w:rsidR="00000000" w:rsidDel="00000000" w:rsidP="00000000" w:rsidRDefault="00000000" w:rsidRPr="00000000" w14:paraId="00000018">
      <w:pPr>
        <w:spacing w:after="60" w:before="20" w:line="276" w:lineRule="auto"/>
        <w:jc w:val="both"/>
        <w:rPr/>
      </w:pPr>
      <w:r w:rsidDel="00000000" w:rsidR="00000000" w:rsidRPr="00000000">
        <w:rPr>
          <w:rtl w:val="0"/>
        </w:rPr>
        <w:t xml:space="preserve">Desarrollar una herramienta capaz de analizar distintas secuencias de ADN o proteínas y cuantificar las variaciones que existen con respecto a una secuencia inicial, también identificar las regiones donde se producen la mayor cantidad de mutaciones en </w:t>
      </w:r>
      <w:r w:rsidDel="00000000" w:rsidR="00000000" w:rsidRPr="00000000">
        <w:rPr>
          <w:rtl w:val="0"/>
        </w:rPr>
        <w:t xml:space="preserve">la </w:t>
      </w:r>
      <w:r w:rsidDel="00000000" w:rsidR="00000000" w:rsidRPr="00000000">
        <w:rPr>
          <w:rtl w:val="0"/>
        </w:rPr>
        <w:t xml:space="preserve">secuencia</w:t>
      </w:r>
      <w:r w:rsidDel="00000000" w:rsidR="00000000" w:rsidRPr="00000000">
        <w:rPr>
          <w:rtl w:val="0"/>
        </w:rPr>
        <w:t xml:space="preserve">(hotspots), </w:t>
      </w:r>
      <w:r w:rsidDel="00000000" w:rsidR="00000000" w:rsidRPr="00000000">
        <w:rPr>
          <w:rtl w:val="0"/>
        </w:rPr>
        <w:t xml:space="preserve">most</w:t>
      </w:r>
      <w:r w:rsidDel="00000000" w:rsidR="00000000" w:rsidRPr="00000000">
        <w:rPr>
          <w:rtl w:val="0"/>
        </w:rPr>
        <w:t xml:space="preserve">rando los resultados gráficamente.</w:t>
      </w:r>
    </w:p>
    <w:p w:rsidR="00000000" w:rsidDel="00000000" w:rsidP="00000000" w:rsidRDefault="00000000" w:rsidRPr="00000000" w14:paraId="00000019">
      <w:pPr>
        <w:spacing w:after="60" w:before="20" w:line="276" w:lineRule="auto"/>
        <w:jc w:val="both"/>
        <w:rPr/>
      </w:pPr>
      <w:r w:rsidDel="00000000" w:rsidR="00000000" w:rsidRPr="00000000">
        <w:rPr>
          <w:rtl w:val="0"/>
        </w:rPr>
      </w:r>
    </w:p>
    <w:p w:rsidR="00000000" w:rsidDel="00000000" w:rsidP="00000000" w:rsidRDefault="00000000" w:rsidRPr="00000000" w14:paraId="0000001A">
      <w:pPr>
        <w:pStyle w:val="Heading1"/>
        <w:spacing w:after="60" w:before="20" w:line="276" w:lineRule="auto"/>
        <w:jc w:val="both"/>
        <w:rPr/>
      </w:pPr>
      <w:bookmarkStart w:colFirst="0" w:colLast="0" w:name="_heading=h.1ihox1rshosq" w:id="8"/>
      <w:bookmarkEnd w:id="8"/>
      <w:r w:rsidDel="00000000" w:rsidR="00000000" w:rsidRPr="00000000">
        <w:rPr>
          <w:rtl w:val="0"/>
        </w:rPr>
        <w:t xml:space="preserve">Desarrollo</w:t>
      </w:r>
    </w:p>
    <w:p w:rsidR="00000000" w:rsidDel="00000000" w:rsidP="00000000" w:rsidRDefault="00000000" w:rsidRPr="00000000" w14:paraId="0000001B">
      <w:pPr>
        <w:spacing w:after="60" w:before="20" w:line="276" w:lineRule="auto"/>
        <w:rPr/>
      </w:pPr>
      <w:r w:rsidDel="00000000" w:rsidR="00000000" w:rsidRPr="00000000">
        <w:rPr>
          <w:rtl w:val="0"/>
        </w:rPr>
      </w:r>
    </w:p>
    <w:p w:rsidR="00000000" w:rsidDel="00000000" w:rsidP="00000000" w:rsidRDefault="00000000" w:rsidRPr="00000000" w14:paraId="0000001C">
      <w:pPr>
        <w:spacing w:after="60" w:before="20" w:line="276" w:lineRule="auto"/>
        <w:rPr/>
      </w:pPr>
      <w:r w:rsidDel="00000000" w:rsidR="00000000" w:rsidRPr="00000000">
        <w:rPr>
          <w:rtl w:val="0"/>
        </w:rPr>
        <w:t xml:space="preserve">La herramienta fue programada en el lenguaje C + + en el entorno de desarrollo de Qt y toda su interfaz fue desarrollada mediante las herramientas que este provee. Su funcionamiento consiste en la lectura de secuencias en un archivo obtenido mediante la base de datos NCBI [</w:t>
      </w:r>
      <w:hyperlink r:id="rId16">
        <w:r w:rsidDel="00000000" w:rsidR="00000000" w:rsidRPr="00000000">
          <w:rPr>
            <w:color w:val="1155cc"/>
            <w:u w:val="single"/>
            <w:rtl w:val="0"/>
          </w:rPr>
          <w:t xml:space="preserve">4</w:t>
        </w:r>
      </w:hyperlink>
      <w:r w:rsidDel="00000000" w:rsidR="00000000" w:rsidRPr="00000000">
        <w:rPr>
          <w:rtl w:val="0"/>
        </w:rPr>
        <w:t xml:space="preserve">], en el cual éstas ya se encuentran alineadas. Después de esta lectura se realiza un procesamiento en función de lo que desee el usuario:</w:t>
      </w:r>
    </w:p>
    <w:p w:rsidR="00000000" w:rsidDel="00000000" w:rsidP="00000000" w:rsidRDefault="00000000" w:rsidRPr="00000000" w14:paraId="0000001D">
      <w:pPr>
        <w:spacing w:after="60" w:before="20" w:line="276" w:lineRule="auto"/>
        <w:rPr/>
      </w:pPr>
      <w:r w:rsidDel="00000000" w:rsidR="00000000" w:rsidRPr="00000000">
        <w:rPr>
          <w:rtl w:val="0"/>
        </w:rPr>
      </w:r>
    </w:p>
    <w:p w:rsidR="00000000" w:rsidDel="00000000" w:rsidP="00000000" w:rsidRDefault="00000000" w:rsidRPr="00000000" w14:paraId="0000001E">
      <w:pPr>
        <w:spacing w:after="60" w:before="20" w:line="276" w:lineRule="auto"/>
        <w:rPr/>
      </w:pPr>
      <w:r w:rsidDel="00000000" w:rsidR="00000000" w:rsidRPr="00000000">
        <w:rPr/>
        <w:drawing>
          <wp:inline distB="114300" distT="114300" distL="114300" distR="114300">
            <wp:extent cx="5731200" cy="2159000"/>
            <wp:effectExtent b="12700" l="12700" r="12700" t="12700"/>
            <wp:docPr id="2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2159000"/>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spacing w:after="60" w:before="20" w:line="276" w:lineRule="auto"/>
        <w:rPr>
          <w:sz w:val="20"/>
          <w:szCs w:val="20"/>
        </w:rPr>
      </w:pPr>
      <w:r w:rsidDel="00000000" w:rsidR="00000000" w:rsidRPr="00000000">
        <w:rPr>
          <w:sz w:val="20"/>
          <w:szCs w:val="20"/>
          <w:u w:val="single"/>
          <w:rtl w:val="0"/>
        </w:rPr>
        <w:t xml:space="preserve">Figura 1</w:t>
      </w:r>
      <w:r w:rsidDel="00000000" w:rsidR="00000000" w:rsidRPr="00000000">
        <w:rPr>
          <w:sz w:val="20"/>
          <w:szCs w:val="20"/>
          <w:rtl w:val="0"/>
        </w:rPr>
        <w:t xml:space="preserve">: Cuadro conceptual del funcionamiento de la herramienta.</w:t>
      </w:r>
    </w:p>
    <w:p w:rsidR="00000000" w:rsidDel="00000000" w:rsidP="00000000" w:rsidRDefault="00000000" w:rsidRPr="00000000" w14:paraId="00000020">
      <w:pPr>
        <w:spacing w:after="60" w:before="20" w:line="276" w:lineRule="auto"/>
        <w:rPr/>
      </w:pPr>
      <w:r w:rsidDel="00000000" w:rsidR="00000000" w:rsidRPr="00000000">
        <w:rPr>
          <w:rtl w:val="0"/>
        </w:rPr>
      </w:r>
    </w:p>
    <w:p w:rsidR="00000000" w:rsidDel="00000000" w:rsidP="00000000" w:rsidRDefault="00000000" w:rsidRPr="00000000" w14:paraId="00000021">
      <w:pPr>
        <w:spacing w:after="60" w:before="20" w:line="276" w:lineRule="auto"/>
        <w:rPr/>
      </w:pPr>
      <w:r w:rsidDel="00000000" w:rsidR="00000000" w:rsidRPr="00000000">
        <w:rPr>
          <w:rtl w:val="0"/>
        </w:rPr>
        <w:t xml:space="preserve">El ingreso puede ser mediante una secuencia de ADN o proteínas, y en el caso del análisis de variación puede realizarse en un determinado país, o en la búsqueda de hotspots, en un determinado rango de fecha.</w:t>
      </w:r>
    </w:p>
    <w:p w:rsidR="00000000" w:rsidDel="00000000" w:rsidP="00000000" w:rsidRDefault="00000000" w:rsidRPr="00000000" w14:paraId="00000022">
      <w:pPr>
        <w:spacing w:after="60" w:before="20" w:line="276" w:lineRule="auto"/>
        <w:rPr/>
      </w:pPr>
      <w:r w:rsidDel="00000000" w:rsidR="00000000" w:rsidRPr="00000000">
        <w:rPr>
          <w:rtl w:val="0"/>
        </w:rPr>
        <w:t xml:space="preserve">Los resultados del análisis de variación se muestran en forma de gráfica con ejes, permitiendo elegir qué mostrar en el eje de las abscisas para permitir comparación con múltiples parámetros,</w:t>
      </w:r>
    </w:p>
    <w:p w:rsidR="00000000" w:rsidDel="00000000" w:rsidP="00000000" w:rsidRDefault="00000000" w:rsidRPr="00000000" w14:paraId="00000023">
      <w:pPr>
        <w:spacing w:after="60" w:before="20" w:line="276" w:lineRule="auto"/>
        <w:rPr/>
      </w:pPr>
      <w:r w:rsidDel="00000000" w:rsidR="00000000" w:rsidRPr="00000000">
        <w:rPr>
          <w:rtl w:val="0"/>
        </w:rPr>
        <w:t xml:space="preserve">Los resultados obtenidos de la búsqueda de hotspots se muestran mediante una gráfica unidimensional donde se puede apreciar la variabilidad en las distintas regiones.</w:t>
      </w:r>
    </w:p>
    <w:p w:rsidR="00000000" w:rsidDel="00000000" w:rsidP="00000000" w:rsidRDefault="00000000" w:rsidRPr="00000000" w14:paraId="00000024">
      <w:pPr>
        <w:spacing w:after="60" w:before="20" w:line="276" w:lineRule="auto"/>
        <w:rPr/>
      </w:pPr>
      <w:r w:rsidDel="00000000" w:rsidR="00000000" w:rsidRPr="00000000">
        <w:rPr>
          <w:rtl w:val="0"/>
        </w:rPr>
        <w:t xml:space="preserve">.</w:t>
      </w:r>
    </w:p>
    <w:p w:rsidR="00000000" w:rsidDel="00000000" w:rsidP="00000000" w:rsidRDefault="00000000" w:rsidRPr="00000000" w14:paraId="00000025">
      <w:pPr>
        <w:spacing w:after="60" w:before="20" w:line="276" w:lineRule="auto"/>
        <w:rPr/>
      </w:pPr>
      <w:r w:rsidDel="00000000" w:rsidR="00000000" w:rsidRPr="00000000">
        <w:rPr>
          <w:rtl w:val="0"/>
        </w:rPr>
        <w:t xml:space="preserve">A continuación se muestra en detalle una imagen tomada de la interfaz inicial de la herramienta, indicando con números las distintas funcionalidades:</w:t>
      </w:r>
    </w:p>
    <w:p w:rsidR="00000000" w:rsidDel="00000000" w:rsidP="00000000" w:rsidRDefault="00000000" w:rsidRPr="00000000" w14:paraId="00000026">
      <w:pPr>
        <w:spacing w:after="60" w:before="20" w:line="276" w:lineRule="auto"/>
        <w:jc w:val="center"/>
        <w:rPr/>
      </w:pPr>
      <w:r w:rsidDel="00000000" w:rsidR="00000000" w:rsidRPr="00000000">
        <w:rPr/>
        <w:drawing>
          <wp:inline distB="114300" distT="114300" distL="114300" distR="114300">
            <wp:extent cx="5090208" cy="4405313"/>
            <wp:effectExtent b="12700" l="12700" r="12700" t="12700"/>
            <wp:docPr id="2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090208" cy="4405313"/>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spacing w:after="60" w:before="20" w:line="276" w:lineRule="auto"/>
        <w:rPr>
          <w:sz w:val="20"/>
          <w:szCs w:val="20"/>
        </w:rPr>
      </w:pPr>
      <w:r w:rsidDel="00000000" w:rsidR="00000000" w:rsidRPr="00000000">
        <w:rPr>
          <w:sz w:val="20"/>
          <w:szCs w:val="20"/>
          <w:u w:val="single"/>
          <w:rtl w:val="0"/>
        </w:rPr>
        <w:t xml:space="preserve">Figura 2</w:t>
      </w:r>
      <w:r w:rsidDel="00000000" w:rsidR="00000000" w:rsidRPr="00000000">
        <w:rPr>
          <w:sz w:val="20"/>
          <w:szCs w:val="20"/>
          <w:rtl w:val="0"/>
        </w:rPr>
        <w:t xml:space="preserve">: Interfaz principal de la herramienta.</w:t>
      </w:r>
    </w:p>
    <w:p w:rsidR="00000000" w:rsidDel="00000000" w:rsidP="00000000" w:rsidRDefault="00000000" w:rsidRPr="00000000" w14:paraId="00000028">
      <w:pPr>
        <w:spacing w:after="60" w:before="20" w:line="276" w:lineRule="auto"/>
        <w:rPr/>
      </w:pPr>
      <w:r w:rsidDel="00000000" w:rsidR="00000000" w:rsidRPr="00000000">
        <w:rPr>
          <w:rtl w:val="0"/>
        </w:rPr>
      </w:r>
    </w:p>
    <w:p w:rsidR="00000000" w:rsidDel="00000000" w:rsidP="00000000" w:rsidRDefault="00000000" w:rsidRPr="00000000" w14:paraId="00000029">
      <w:pPr>
        <w:spacing w:after="60" w:before="20" w:line="276" w:lineRule="auto"/>
        <w:rPr>
          <w:b w:val="1"/>
        </w:rPr>
      </w:pPr>
      <w:r w:rsidDel="00000000" w:rsidR="00000000" w:rsidRPr="00000000">
        <w:rPr>
          <w:b w:val="1"/>
          <w:rtl w:val="0"/>
        </w:rPr>
        <w:t xml:space="preserve">Funcionalidades:</w:t>
      </w:r>
    </w:p>
    <w:p w:rsidR="00000000" w:rsidDel="00000000" w:rsidP="00000000" w:rsidRDefault="00000000" w:rsidRPr="00000000" w14:paraId="0000002A">
      <w:pPr>
        <w:numPr>
          <w:ilvl w:val="0"/>
          <w:numId w:val="3"/>
        </w:numPr>
        <w:spacing w:after="60" w:before="20" w:line="276" w:lineRule="auto"/>
        <w:ind w:left="720" w:hanging="360"/>
      </w:pPr>
      <w:r w:rsidDel="00000000" w:rsidR="00000000" w:rsidRPr="00000000">
        <w:rPr>
          <w:rtl w:val="0"/>
        </w:rPr>
        <w:t xml:space="preserve">Líneas de texto en las cuales se indica el nombre y dirección del archivo a partir del cual se cargarán las secuencias para cada tipo de procesamiento.</w:t>
      </w:r>
    </w:p>
    <w:p w:rsidR="00000000" w:rsidDel="00000000" w:rsidP="00000000" w:rsidRDefault="00000000" w:rsidRPr="00000000" w14:paraId="0000002B">
      <w:pPr>
        <w:numPr>
          <w:ilvl w:val="0"/>
          <w:numId w:val="3"/>
        </w:numPr>
        <w:spacing w:after="60" w:before="20" w:line="276" w:lineRule="auto"/>
        <w:ind w:left="720" w:hanging="360"/>
      </w:pPr>
      <w:r w:rsidDel="00000000" w:rsidR="00000000" w:rsidRPr="00000000">
        <w:rPr>
          <w:rtl w:val="0"/>
        </w:rPr>
        <w:t xml:space="preserve">Se da como opción la posibilidad de ingresar secuencias de ADN para el análisis de variación, y que sus regiones codificantes sean traducidas a proteínas. </w:t>
      </w:r>
    </w:p>
    <w:p w:rsidR="00000000" w:rsidDel="00000000" w:rsidP="00000000" w:rsidRDefault="00000000" w:rsidRPr="00000000" w14:paraId="0000002C">
      <w:pPr>
        <w:numPr>
          <w:ilvl w:val="0"/>
          <w:numId w:val="3"/>
        </w:numPr>
        <w:spacing w:after="60" w:before="20" w:line="276" w:lineRule="auto"/>
        <w:ind w:left="720" w:hanging="360"/>
        <w:rPr>
          <w:u w:val="none"/>
        </w:rPr>
      </w:pPr>
      <w:r w:rsidDel="00000000" w:rsidR="00000000" w:rsidRPr="00000000">
        <w:rPr>
          <w:rtl w:val="0"/>
        </w:rPr>
        <w:t xml:space="preserve">Es posible elegir la región de la cual tomar los valores de cantidad de infecciones y vacunaciones, provenientes de los datos de la base de datos Our World in Data.</w:t>
      </w:r>
    </w:p>
    <w:p w:rsidR="00000000" w:rsidDel="00000000" w:rsidP="00000000" w:rsidRDefault="00000000" w:rsidRPr="00000000" w14:paraId="0000002D">
      <w:pPr>
        <w:numPr>
          <w:ilvl w:val="0"/>
          <w:numId w:val="3"/>
        </w:numPr>
        <w:spacing w:after="60" w:before="20" w:line="276" w:lineRule="auto"/>
        <w:ind w:left="720" w:hanging="360"/>
        <w:rPr>
          <w:u w:val="none"/>
        </w:rPr>
      </w:pPr>
      <w:r w:rsidDel="00000000" w:rsidR="00000000" w:rsidRPr="00000000">
        <w:rPr>
          <w:rtl w:val="0"/>
        </w:rPr>
        <w:t xml:space="preserve">Se da la opción de seleccionar una matriz de sustitución previamente cargada a la herramienta. Por defecto se emplea un cálculo simplificado que cuantifica la cantidad de puntos en los cuales la secuencia varía de la de referencia.</w:t>
      </w:r>
    </w:p>
    <w:p w:rsidR="00000000" w:rsidDel="00000000" w:rsidP="00000000" w:rsidRDefault="00000000" w:rsidRPr="00000000" w14:paraId="0000002E">
      <w:pPr>
        <w:numPr>
          <w:ilvl w:val="0"/>
          <w:numId w:val="3"/>
        </w:numPr>
        <w:spacing w:after="60" w:before="20" w:line="276" w:lineRule="auto"/>
        <w:ind w:left="720" w:hanging="360"/>
        <w:rPr>
          <w:u w:val="none"/>
        </w:rPr>
      </w:pPr>
      <w:r w:rsidDel="00000000" w:rsidR="00000000" w:rsidRPr="00000000">
        <w:rPr>
          <w:rtl w:val="0"/>
        </w:rPr>
        <w:t xml:space="preserve">Es posible seleccionar que la búsqueda de hotspots se realice en secuencias de ADN o de péptidos.</w:t>
      </w:r>
    </w:p>
    <w:p w:rsidR="00000000" w:rsidDel="00000000" w:rsidP="00000000" w:rsidRDefault="00000000" w:rsidRPr="00000000" w14:paraId="0000002F">
      <w:pPr>
        <w:numPr>
          <w:ilvl w:val="0"/>
          <w:numId w:val="3"/>
        </w:numPr>
        <w:spacing w:after="60" w:before="20" w:line="276" w:lineRule="auto"/>
        <w:ind w:left="720" w:hanging="360"/>
        <w:rPr>
          <w:u w:val="none"/>
        </w:rPr>
      </w:pPr>
      <w:r w:rsidDel="00000000" w:rsidR="00000000" w:rsidRPr="00000000">
        <w:rPr>
          <w:rtl w:val="0"/>
        </w:rPr>
        <w:t xml:space="preserve">Presionar el botón de ‘Cargar’ muestra datos generales de las secuencias incluidas en el archivo, incluyendo la cantidad de secuencias en el alineamiento, su longitud, y la fecha correspondiente a cada una. </w:t>
      </w:r>
    </w:p>
    <w:p w:rsidR="00000000" w:rsidDel="00000000" w:rsidP="00000000" w:rsidRDefault="00000000" w:rsidRPr="00000000" w14:paraId="00000030">
      <w:pPr>
        <w:numPr>
          <w:ilvl w:val="0"/>
          <w:numId w:val="3"/>
        </w:numPr>
        <w:spacing w:after="60" w:before="20" w:line="276" w:lineRule="auto"/>
        <w:ind w:left="720" w:hanging="360"/>
        <w:rPr>
          <w:u w:val="none"/>
        </w:rPr>
      </w:pPr>
      <w:r w:rsidDel="00000000" w:rsidR="00000000" w:rsidRPr="00000000">
        <w:rPr>
          <w:rtl w:val="0"/>
        </w:rPr>
        <w:t xml:space="preserve">Es posible seleccionar un rango de fechas a comparar en la búsqueda de hotspots.</w:t>
      </w:r>
    </w:p>
    <w:p w:rsidR="00000000" w:rsidDel="00000000" w:rsidP="00000000" w:rsidRDefault="00000000" w:rsidRPr="00000000" w14:paraId="00000031">
      <w:pPr>
        <w:spacing w:after="60" w:before="20" w:line="276" w:lineRule="auto"/>
        <w:rPr/>
      </w:pPr>
      <w:r w:rsidDel="00000000" w:rsidR="00000000" w:rsidRPr="00000000">
        <w:rPr>
          <w:rtl w:val="0"/>
        </w:rPr>
      </w:r>
    </w:p>
    <w:p w:rsidR="00000000" w:rsidDel="00000000" w:rsidP="00000000" w:rsidRDefault="00000000" w:rsidRPr="00000000" w14:paraId="00000032">
      <w:pPr>
        <w:pStyle w:val="Heading1"/>
        <w:spacing w:after="60" w:before="20" w:line="276" w:lineRule="auto"/>
        <w:rPr/>
      </w:pPr>
      <w:bookmarkStart w:colFirst="0" w:colLast="0" w:name="_heading=h.sm72wa8fmwq0" w:id="9"/>
      <w:bookmarkEnd w:id="9"/>
      <w:r w:rsidDel="00000000" w:rsidR="00000000" w:rsidRPr="00000000">
        <w:rPr>
          <w:rtl w:val="0"/>
        </w:rPr>
        <w:t xml:space="preserve">Resultados obtenidos y esperados</w:t>
      </w:r>
    </w:p>
    <w:p w:rsidR="00000000" w:rsidDel="00000000" w:rsidP="00000000" w:rsidRDefault="00000000" w:rsidRPr="00000000" w14:paraId="00000033">
      <w:pPr>
        <w:spacing w:after="60" w:before="20" w:line="276" w:lineRule="auto"/>
        <w:rPr/>
      </w:pPr>
      <w:r w:rsidDel="00000000" w:rsidR="00000000" w:rsidRPr="00000000">
        <w:rPr>
          <w:rtl w:val="0"/>
        </w:rPr>
      </w:r>
    </w:p>
    <w:p w:rsidR="00000000" w:rsidDel="00000000" w:rsidP="00000000" w:rsidRDefault="00000000" w:rsidRPr="00000000" w14:paraId="00000034">
      <w:pPr>
        <w:pStyle w:val="Heading3"/>
        <w:spacing w:after="60" w:before="20" w:line="276" w:lineRule="auto"/>
        <w:rPr/>
      </w:pPr>
      <w:bookmarkStart w:colFirst="0" w:colLast="0" w:name="_heading=h.w3deqqip96a9" w:id="10"/>
      <w:bookmarkEnd w:id="10"/>
      <w:r w:rsidDel="00000000" w:rsidR="00000000" w:rsidRPr="00000000">
        <w:rPr>
          <w:rtl w:val="0"/>
        </w:rPr>
        <w:t xml:space="preserve">Análisis de la Variación</w:t>
      </w:r>
    </w:p>
    <w:p w:rsidR="00000000" w:rsidDel="00000000" w:rsidP="00000000" w:rsidRDefault="00000000" w:rsidRPr="00000000" w14:paraId="00000035">
      <w:pPr>
        <w:spacing w:after="60" w:before="20" w:line="276" w:lineRule="auto"/>
        <w:rPr/>
      </w:pPr>
      <w:r w:rsidDel="00000000" w:rsidR="00000000" w:rsidRPr="00000000">
        <w:rPr>
          <w:rtl w:val="0"/>
        </w:rPr>
        <w:t xml:space="preserve">Se programó un módulo en el cual se calcula un grado de variación de las secuencias con respecto a la más antigua (de fecha menos reciente) dentro del conjunto de secuencias en el alineamiento empleado. La variación puede calcularse aplicando distintas matrices que se seleccionan en la interfaz principal de la herramienta, para así aplicar un valor distinto dependiendo de la naturaleza de la variación. El gráfico resultante se construye a partir del valor calculado de variación sobre el eje vertical, y el eje horizontal puede ser modificado para reportar el índice (en base al orden de las secuencias), la fecha asociada a cada secuencia, la cantidad de infecciones correspondientes a la fecha de la secuencia, y la cantidad de vacunaciones correspondientes a la fecha de la secuencia. </w:t>
      </w:r>
    </w:p>
    <w:p w:rsidR="00000000" w:rsidDel="00000000" w:rsidP="00000000" w:rsidRDefault="00000000" w:rsidRPr="00000000" w14:paraId="00000036">
      <w:pPr>
        <w:spacing w:after="60" w:before="20" w:line="276" w:lineRule="auto"/>
        <w:jc w:val="center"/>
        <w:rPr/>
      </w:pPr>
      <w:r w:rsidDel="00000000" w:rsidR="00000000" w:rsidRPr="00000000">
        <w:rPr/>
        <w:drawing>
          <wp:inline distB="114300" distT="114300" distL="114300" distR="114300">
            <wp:extent cx="5731200" cy="4965700"/>
            <wp:effectExtent b="12700" l="12700" r="12700" t="12700"/>
            <wp:docPr id="1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4965700"/>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spacing w:after="60" w:before="20" w:line="276" w:lineRule="auto"/>
        <w:rPr>
          <w:sz w:val="20"/>
          <w:szCs w:val="20"/>
        </w:rPr>
      </w:pPr>
      <w:r w:rsidDel="00000000" w:rsidR="00000000" w:rsidRPr="00000000">
        <w:rPr>
          <w:sz w:val="20"/>
          <w:szCs w:val="20"/>
          <w:u w:val="single"/>
          <w:rtl w:val="0"/>
        </w:rPr>
        <w:t xml:space="preserve">Figura 3</w:t>
      </w:r>
      <w:r w:rsidDel="00000000" w:rsidR="00000000" w:rsidRPr="00000000">
        <w:rPr>
          <w:sz w:val="20"/>
          <w:szCs w:val="20"/>
          <w:rtl w:val="0"/>
        </w:rPr>
        <w:t xml:space="preserve">: Interfaz correspondiente a los resultados del análisis de variación.</w:t>
      </w:r>
    </w:p>
    <w:p w:rsidR="00000000" w:rsidDel="00000000" w:rsidP="00000000" w:rsidRDefault="00000000" w:rsidRPr="00000000" w14:paraId="00000038">
      <w:pPr>
        <w:spacing w:after="60" w:before="20" w:line="276" w:lineRule="auto"/>
        <w:rPr/>
      </w:pPr>
      <w:r w:rsidDel="00000000" w:rsidR="00000000" w:rsidRPr="00000000">
        <w:rPr>
          <w:rtl w:val="0"/>
        </w:rPr>
      </w:r>
    </w:p>
    <w:p w:rsidR="00000000" w:rsidDel="00000000" w:rsidP="00000000" w:rsidRDefault="00000000" w:rsidRPr="00000000" w14:paraId="00000039">
      <w:pPr>
        <w:spacing w:after="60" w:before="20" w:line="276" w:lineRule="auto"/>
        <w:rPr/>
      </w:pPr>
      <w:r w:rsidDel="00000000" w:rsidR="00000000" w:rsidRPr="00000000">
        <w:rPr>
          <w:rtl w:val="0"/>
        </w:rPr>
      </w:r>
    </w:p>
    <w:p w:rsidR="00000000" w:rsidDel="00000000" w:rsidP="00000000" w:rsidRDefault="00000000" w:rsidRPr="00000000" w14:paraId="0000003A">
      <w:pPr>
        <w:spacing w:after="60" w:before="20" w:line="276" w:lineRule="auto"/>
        <w:rPr/>
      </w:pPr>
      <w:r w:rsidDel="00000000" w:rsidR="00000000" w:rsidRPr="00000000">
        <w:rPr>
          <w:rtl w:val="0"/>
        </w:rPr>
      </w:r>
    </w:p>
    <w:p w:rsidR="00000000" w:rsidDel="00000000" w:rsidP="00000000" w:rsidRDefault="00000000" w:rsidRPr="00000000" w14:paraId="0000003B">
      <w:pPr>
        <w:spacing w:after="60" w:before="20" w:line="276" w:lineRule="auto"/>
        <w:rPr/>
      </w:pPr>
      <w:r w:rsidDel="00000000" w:rsidR="00000000" w:rsidRPr="00000000">
        <w:rPr>
          <w:rtl w:val="0"/>
        </w:rPr>
      </w:r>
    </w:p>
    <w:p w:rsidR="00000000" w:rsidDel="00000000" w:rsidP="00000000" w:rsidRDefault="00000000" w:rsidRPr="00000000" w14:paraId="0000003C">
      <w:pPr>
        <w:spacing w:after="60" w:before="20" w:line="276" w:lineRule="auto"/>
        <w:rPr>
          <w:b w:val="1"/>
        </w:rPr>
      </w:pPr>
      <w:r w:rsidDel="00000000" w:rsidR="00000000" w:rsidRPr="00000000">
        <w:rPr>
          <w:b w:val="1"/>
          <w:rtl w:val="0"/>
        </w:rPr>
        <w:t xml:space="preserve">Funcionalidades:</w:t>
      </w:r>
      <w:r w:rsidDel="00000000" w:rsidR="00000000" w:rsidRPr="00000000">
        <w:rPr>
          <w:rtl w:val="0"/>
        </w:rPr>
      </w:r>
    </w:p>
    <w:p w:rsidR="00000000" w:rsidDel="00000000" w:rsidP="00000000" w:rsidRDefault="00000000" w:rsidRPr="00000000" w14:paraId="0000003D">
      <w:pPr>
        <w:numPr>
          <w:ilvl w:val="0"/>
          <w:numId w:val="4"/>
        </w:numPr>
        <w:spacing w:after="60" w:before="20" w:line="276" w:lineRule="auto"/>
        <w:ind w:left="720" w:hanging="360"/>
        <w:rPr>
          <w:u w:val="none"/>
        </w:rPr>
      </w:pPr>
      <w:r w:rsidDel="00000000" w:rsidR="00000000" w:rsidRPr="00000000">
        <w:rPr>
          <w:rtl w:val="0"/>
        </w:rPr>
        <w:t xml:space="preserve">Gráfico de variación en función del eje seleccionado. Cada punto se corresponde con una de las secuencias incluídas en el alineamiento analizado.</w:t>
      </w:r>
    </w:p>
    <w:p w:rsidR="00000000" w:rsidDel="00000000" w:rsidP="00000000" w:rsidRDefault="00000000" w:rsidRPr="00000000" w14:paraId="0000003E">
      <w:pPr>
        <w:numPr>
          <w:ilvl w:val="0"/>
          <w:numId w:val="4"/>
        </w:numPr>
        <w:spacing w:after="60" w:before="20" w:line="276" w:lineRule="auto"/>
        <w:ind w:left="720" w:hanging="360"/>
        <w:rPr>
          <w:u w:val="none"/>
        </w:rPr>
      </w:pPr>
      <w:r w:rsidDel="00000000" w:rsidR="00000000" w:rsidRPr="00000000">
        <w:rPr>
          <w:rtl w:val="0"/>
        </w:rPr>
        <w:t xml:space="preserve">Es posible seleccionar uno de cuatro ejes: por índice, por tiempo (en días), cantidad de infecciones en el país seleccionado en la interfaz principal, y cantidad de vacunaciones en el país seleccionado en la interfaz principal.</w:t>
      </w:r>
    </w:p>
    <w:p w:rsidR="00000000" w:rsidDel="00000000" w:rsidP="00000000" w:rsidRDefault="00000000" w:rsidRPr="00000000" w14:paraId="0000003F">
      <w:pPr>
        <w:numPr>
          <w:ilvl w:val="0"/>
          <w:numId w:val="4"/>
        </w:numPr>
        <w:spacing w:after="60" w:before="20" w:line="276" w:lineRule="auto"/>
        <w:ind w:left="720" w:hanging="360"/>
        <w:rPr>
          <w:u w:val="none"/>
        </w:rPr>
      </w:pPr>
      <w:r w:rsidDel="00000000" w:rsidR="00000000" w:rsidRPr="00000000">
        <w:rPr>
          <w:rtl w:val="0"/>
        </w:rPr>
        <w:t xml:space="preserve">Para el eje de tiempo, se posibilita seleccionar una marca vertical que indique las fechas en las cuales se dio un aumento en un factor 100 de la cantidad de infecciones o de vacunaciones.</w:t>
      </w:r>
    </w:p>
    <w:p w:rsidR="00000000" w:rsidDel="00000000" w:rsidP="00000000" w:rsidRDefault="00000000" w:rsidRPr="00000000" w14:paraId="00000040">
      <w:pPr>
        <w:numPr>
          <w:ilvl w:val="0"/>
          <w:numId w:val="4"/>
        </w:numPr>
        <w:spacing w:after="60" w:before="20" w:line="276" w:lineRule="auto"/>
        <w:ind w:left="720" w:hanging="360"/>
        <w:rPr>
          <w:u w:val="none"/>
        </w:rPr>
      </w:pPr>
      <w:r w:rsidDel="00000000" w:rsidR="00000000" w:rsidRPr="00000000">
        <w:rPr>
          <w:rtl w:val="0"/>
        </w:rPr>
        <w:t xml:space="preserve">Se muestran datos asociados por cada secuencia: el valor de variabilidad con respecto a la primer secuencia, la fecha, las infecciones totales para la fecha, y las vacunaciones totales para la fecha.</w:t>
      </w:r>
    </w:p>
    <w:p w:rsidR="00000000" w:rsidDel="00000000" w:rsidP="00000000" w:rsidRDefault="00000000" w:rsidRPr="00000000" w14:paraId="00000041">
      <w:pPr>
        <w:spacing w:after="60" w:before="20" w:line="276" w:lineRule="auto"/>
        <w:rPr/>
      </w:pPr>
      <w:r w:rsidDel="00000000" w:rsidR="00000000" w:rsidRPr="00000000">
        <w:rPr>
          <w:rtl w:val="0"/>
        </w:rPr>
      </w:r>
    </w:p>
    <w:p w:rsidR="00000000" w:rsidDel="00000000" w:rsidP="00000000" w:rsidRDefault="00000000" w:rsidRPr="00000000" w14:paraId="00000042">
      <w:pPr>
        <w:spacing w:after="60" w:before="20" w:line="276" w:lineRule="auto"/>
        <w:rPr/>
      </w:pPr>
      <w:r w:rsidDel="00000000" w:rsidR="00000000" w:rsidRPr="00000000">
        <w:rPr>
          <w:rtl w:val="0"/>
        </w:rPr>
      </w:r>
    </w:p>
    <w:p w:rsidR="00000000" w:rsidDel="00000000" w:rsidP="00000000" w:rsidRDefault="00000000" w:rsidRPr="00000000" w14:paraId="00000043">
      <w:pPr>
        <w:spacing w:after="60" w:before="20" w:line="276" w:lineRule="auto"/>
        <w:rPr/>
      </w:pPr>
      <w:r w:rsidDel="00000000" w:rsidR="00000000" w:rsidRPr="00000000">
        <w:rPr>
          <w:rtl w:val="0"/>
        </w:rPr>
      </w:r>
    </w:p>
    <w:p w:rsidR="00000000" w:rsidDel="00000000" w:rsidP="00000000" w:rsidRDefault="00000000" w:rsidRPr="00000000" w14:paraId="00000044">
      <w:pPr>
        <w:spacing w:after="60" w:before="20" w:line="276" w:lineRule="auto"/>
        <w:rPr/>
      </w:pPr>
      <w:r w:rsidDel="00000000" w:rsidR="00000000" w:rsidRPr="00000000">
        <w:rPr>
          <w:rtl w:val="0"/>
        </w:rPr>
      </w:r>
    </w:p>
    <w:p w:rsidR="00000000" w:rsidDel="00000000" w:rsidP="00000000" w:rsidRDefault="00000000" w:rsidRPr="00000000" w14:paraId="00000045">
      <w:pPr>
        <w:spacing w:after="60" w:before="20" w:line="276" w:lineRule="auto"/>
        <w:rPr/>
      </w:pPr>
      <w:r w:rsidDel="00000000" w:rsidR="00000000" w:rsidRPr="00000000">
        <w:rPr>
          <w:rtl w:val="0"/>
        </w:rPr>
      </w:r>
    </w:p>
    <w:p w:rsidR="00000000" w:rsidDel="00000000" w:rsidP="00000000" w:rsidRDefault="00000000" w:rsidRPr="00000000" w14:paraId="00000046">
      <w:pPr>
        <w:spacing w:after="60" w:before="20" w:line="276" w:lineRule="auto"/>
        <w:rPr/>
      </w:pPr>
      <w:r w:rsidDel="00000000" w:rsidR="00000000" w:rsidRPr="00000000">
        <w:rPr>
          <w:rtl w:val="0"/>
        </w:rPr>
      </w:r>
    </w:p>
    <w:p w:rsidR="00000000" w:rsidDel="00000000" w:rsidP="00000000" w:rsidRDefault="00000000" w:rsidRPr="00000000" w14:paraId="00000047">
      <w:pPr>
        <w:spacing w:after="60" w:before="20" w:line="276" w:lineRule="auto"/>
        <w:rPr/>
      </w:pPr>
      <w:r w:rsidDel="00000000" w:rsidR="00000000" w:rsidRPr="00000000">
        <w:rPr>
          <w:rtl w:val="0"/>
        </w:rPr>
      </w:r>
    </w:p>
    <w:p w:rsidR="00000000" w:rsidDel="00000000" w:rsidP="00000000" w:rsidRDefault="00000000" w:rsidRPr="00000000" w14:paraId="00000048">
      <w:pPr>
        <w:spacing w:after="60" w:before="20" w:line="276" w:lineRule="auto"/>
        <w:rPr/>
      </w:pPr>
      <w:r w:rsidDel="00000000" w:rsidR="00000000" w:rsidRPr="00000000">
        <w:rPr>
          <w:rtl w:val="0"/>
        </w:rPr>
      </w:r>
    </w:p>
    <w:p w:rsidR="00000000" w:rsidDel="00000000" w:rsidP="00000000" w:rsidRDefault="00000000" w:rsidRPr="00000000" w14:paraId="00000049">
      <w:pPr>
        <w:spacing w:after="60" w:before="20" w:line="276" w:lineRule="auto"/>
        <w:rPr/>
      </w:pPr>
      <w:r w:rsidDel="00000000" w:rsidR="00000000" w:rsidRPr="00000000">
        <w:rPr>
          <w:rtl w:val="0"/>
        </w:rPr>
      </w:r>
    </w:p>
    <w:p w:rsidR="00000000" w:rsidDel="00000000" w:rsidP="00000000" w:rsidRDefault="00000000" w:rsidRPr="00000000" w14:paraId="0000004A">
      <w:pPr>
        <w:spacing w:after="60" w:before="20" w:line="276" w:lineRule="auto"/>
        <w:rPr/>
      </w:pPr>
      <w:r w:rsidDel="00000000" w:rsidR="00000000" w:rsidRPr="00000000">
        <w:rPr>
          <w:rtl w:val="0"/>
        </w:rPr>
      </w:r>
    </w:p>
    <w:p w:rsidR="00000000" w:rsidDel="00000000" w:rsidP="00000000" w:rsidRDefault="00000000" w:rsidRPr="00000000" w14:paraId="0000004B">
      <w:pPr>
        <w:spacing w:after="60" w:before="20" w:line="276" w:lineRule="auto"/>
        <w:rPr/>
      </w:pPr>
      <w:r w:rsidDel="00000000" w:rsidR="00000000" w:rsidRPr="00000000">
        <w:rPr>
          <w:rtl w:val="0"/>
        </w:rPr>
      </w:r>
    </w:p>
    <w:p w:rsidR="00000000" w:rsidDel="00000000" w:rsidP="00000000" w:rsidRDefault="00000000" w:rsidRPr="00000000" w14:paraId="0000004C">
      <w:pPr>
        <w:spacing w:after="60" w:before="20" w:line="276" w:lineRule="auto"/>
        <w:rPr/>
      </w:pPr>
      <w:r w:rsidDel="00000000" w:rsidR="00000000" w:rsidRPr="00000000">
        <w:rPr>
          <w:rtl w:val="0"/>
        </w:rPr>
      </w:r>
    </w:p>
    <w:p w:rsidR="00000000" w:rsidDel="00000000" w:rsidP="00000000" w:rsidRDefault="00000000" w:rsidRPr="00000000" w14:paraId="0000004D">
      <w:pPr>
        <w:spacing w:after="60" w:before="20" w:line="276" w:lineRule="auto"/>
        <w:rPr/>
      </w:pPr>
      <w:r w:rsidDel="00000000" w:rsidR="00000000" w:rsidRPr="00000000">
        <w:rPr>
          <w:rtl w:val="0"/>
        </w:rPr>
      </w:r>
    </w:p>
    <w:p w:rsidR="00000000" w:rsidDel="00000000" w:rsidP="00000000" w:rsidRDefault="00000000" w:rsidRPr="00000000" w14:paraId="0000004E">
      <w:pPr>
        <w:spacing w:after="60" w:before="20" w:line="276" w:lineRule="auto"/>
        <w:rPr/>
      </w:pPr>
      <w:r w:rsidDel="00000000" w:rsidR="00000000" w:rsidRPr="00000000">
        <w:rPr>
          <w:rtl w:val="0"/>
        </w:rPr>
      </w:r>
    </w:p>
    <w:p w:rsidR="00000000" w:rsidDel="00000000" w:rsidP="00000000" w:rsidRDefault="00000000" w:rsidRPr="00000000" w14:paraId="0000004F">
      <w:pPr>
        <w:spacing w:after="60" w:before="20" w:line="276" w:lineRule="auto"/>
        <w:rPr/>
      </w:pPr>
      <w:r w:rsidDel="00000000" w:rsidR="00000000" w:rsidRPr="00000000">
        <w:rPr>
          <w:rtl w:val="0"/>
        </w:rPr>
      </w:r>
    </w:p>
    <w:p w:rsidR="00000000" w:rsidDel="00000000" w:rsidP="00000000" w:rsidRDefault="00000000" w:rsidRPr="00000000" w14:paraId="00000050">
      <w:pPr>
        <w:spacing w:after="60" w:before="20" w:line="276" w:lineRule="auto"/>
        <w:rPr/>
      </w:pPr>
      <w:r w:rsidDel="00000000" w:rsidR="00000000" w:rsidRPr="00000000">
        <w:rPr>
          <w:rtl w:val="0"/>
        </w:rPr>
      </w:r>
    </w:p>
    <w:p w:rsidR="00000000" w:rsidDel="00000000" w:rsidP="00000000" w:rsidRDefault="00000000" w:rsidRPr="00000000" w14:paraId="00000051">
      <w:pPr>
        <w:spacing w:after="60" w:before="20" w:line="276" w:lineRule="auto"/>
        <w:rPr/>
      </w:pPr>
      <w:r w:rsidDel="00000000" w:rsidR="00000000" w:rsidRPr="00000000">
        <w:rPr>
          <w:rtl w:val="0"/>
        </w:rPr>
      </w:r>
    </w:p>
    <w:p w:rsidR="00000000" w:rsidDel="00000000" w:rsidP="00000000" w:rsidRDefault="00000000" w:rsidRPr="00000000" w14:paraId="00000052">
      <w:pPr>
        <w:spacing w:after="60" w:before="20" w:line="276" w:lineRule="auto"/>
        <w:rPr/>
      </w:pPr>
      <w:r w:rsidDel="00000000" w:rsidR="00000000" w:rsidRPr="00000000">
        <w:rPr>
          <w:rtl w:val="0"/>
        </w:rPr>
      </w:r>
    </w:p>
    <w:p w:rsidR="00000000" w:rsidDel="00000000" w:rsidP="00000000" w:rsidRDefault="00000000" w:rsidRPr="00000000" w14:paraId="00000053">
      <w:pPr>
        <w:spacing w:after="60" w:before="20" w:line="276" w:lineRule="auto"/>
        <w:rPr/>
      </w:pPr>
      <w:r w:rsidDel="00000000" w:rsidR="00000000" w:rsidRPr="00000000">
        <w:rPr>
          <w:rtl w:val="0"/>
        </w:rPr>
      </w:r>
    </w:p>
    <w:p w:rsidR="00000000" w:rsidDel="00000000" w:rsidP="00000000" w:rsidRDefault="00000000" w:rsidRPr="00000000" w14:paraId="00000054">
      <w:pPr>
        <w:spacing w:after="60" w:before="20" w:line="276" w:lineRule="auto"/>
        <w:rPr/>
      </w:pPr>
      <w:r w:rsidDel="00000000" w:rsidR="00000000" w:rsidRPr="00000000">
        <w:rPr>
          <w:rtl w:val="0"/>
        </w:rPr>
      </w:r>
    </w:p>
    <w:p w:rsidR="00000000" w:rsidDel="00000000" w:rsidP="00000000" w:rsidRDefault="00000000" w:rsidRPr="00000000" w14:paraId="00000055">
      <w:pPr>
        <w:spacing w:after="60" w:before="20" w:line="276" w:lineRule="auto"/>
        <w:rPr/>
      </w:pPr>
      <w:r w:rsidDel="00000000" w:rsidR="00000000" w:rsidRPr="00000000">
        <w:rPr>
          <w:rtl w:val="0"/>
        </w:rPr>
      </w:r>
    </w:p>
    <w:p w:rsidR="00000000" w:rsidDel="00000000" w:rsidP="00000000" w:rsidRDefault="00000000" w:rsidRPr="00000000" w14:paraId="00000056">
      <w:pPr>
        <w:spacing w:after="60" w:before="20" w:line="276" w:lineRule="auto"/>
        <w:rPr/>
      </w:pPr>
      <w:r w:rsidDel="00000000" w:rsidR="00000000" w:rsidRPr="00000000">
        <w:rPr>
          <w:rtl w:val="0"/>
        </w:rPr>
      </w:r>
    </w:p>
    <w:p w:rsidR="00000000" w:rsidDel="00000000" w:rsidP="00000000" w:rsidRDefault="00000000" w:rsidRPr="00000000" w14:paraId="00000057">
      <w:pPr>
        <w:spacing w:after="60" w:before="20" w:line="276" w:lineRule="auto"/>
        <w:rPr/>
      </w:pPr>
      <w:r w:rsidDel="00000000" w:rsidR="00000000" w:rsidRPr="00000000">
        <w:rPr>
          <w:rtl w:val="0"/>
        </w:rPr>
      </w:r>
    </w:p>
    <w:p w:rsidR="00000000" w:rsidDel="00000000" w:rsidP="00000000" w:rsidRDefault="00000000" w:rsidRPr="00000000" w14:paraId="00000058">
      <w:pPr>
        <w:spacing w:after="60" w:before="20" w:line="276" w:lineRule="auto"/>
        <w:rPr/>
      </w:pPr>
      <w:r w:rsidDel="00000000" w:rsidR="00000000" w:rsidRPr="00000000">
        <w:rPr>
          <w:rtl w:val="0"/>
        </w:rPr>
      </w:r>
    </w:p>
    <w:p w:rsidR="00000000" w:rsidDel="00000000" w:rsidP="00000000" w:rsidRDefault="00000000" w:rsidRPr="00000000" w14:paraId="00000059">
      <w:pPr>
        <w:spacing w:after="60" w:before="20" w:line="276" w:lineRule="auto"/>
        <w:rPr/>
      </w:pPr>
      <w:r w:rsidDel="00000000" w:rsidR="00000000" w:rsidRPr="00000000">
        <w:rPr>
          <w:rtl w:val="0"/>
        </w:rPr>
      </w:r>
    </w:p>
    <w:p w:rsidR="00000000" w:rsidDel="00000000" w:rsidP="00000000" w:rsidRDefault="00000000" w:rsidRPr="00000000" w14:paraId="0000005A">
      <w:pPr>
        <w:spacing w:after="60" w:before="20" w:line="276" w:lineRule="auto"/>
        <w:rPr/>
      </w:pPr>
      <w:r w:rsidDel="00000000" w:rsidR="00000000" w:rsidRPr="00000000">
        <w:rPr>
          <w:rtl w:val="0"/>
        </w:rPr>
      </w:r>
    </w:p>
    <w:p w:rsidR="00000000" w:rsidDel="00000000" w:rsidP="00000000" w:rsidRDefault="00000000" w:rsidRPr="00000000" w14:paraId="0000005B">
      <w:pPr>
        <w:spacing w:after="60" w:before="20" w:line="276" w:lineRule="auto"/>
        <w:rPr/>
      </w:pPr>
      <w:r w:rsidDel="00000000" w:rsidR="00000000" w:rsidRPr="00000000">
        <w:rPr>
          <w:rtl w:val="0"/>
        </w:rPr>
      </w:r>
    </w:p>
    <w:p w:rsidR="00000000" w:rsidDel="00000000" w:rsidP="00000000" w:rsidRDefault="00000000" w:rsidRPr="00000000" w14:paraId="0000005C">
      <w:pPr>
        <w:spacing w:after="60" w:before="20" w:line="276" w:lineRule="auto"/>
        <w:rPr/>
      </w:pPr>
      <w:r w:rsidDel="00000000" w:rsidR="00000000" w:rsidRPr="00000000">
        <w:rPr>
          <w:rtl w:val="0"/>
        </w:rPr>
      </w:r>
    </w:p>
    <w:p w:rsidR="00000000" w:rsidDel="00000000" w:rsidP="00000000" w:rsidRDefault="00000000" w:rsidRPr="00000000" w14:paraId="0000005D">
      <w:pPr>
        <w:pStyle w:val="Heading3"/>
        <w:spacing w:after="60" w:before="20" w:line="276" w:lineRule="auto"/>
        <w:rPr>
          <w:i w:val="1"/>
        </w:rPr>
      </w:pPr>
      <w:bookmarkStart w:colFirst="0" w:colLast="0" w:name="_heading=h.vihoyuwguyw5" w:id="11"/>
      <w:bookmarkEnd w:id="11"/>
      <w:r w:rsidDel="00000000" w:rsidR="00000000" w:rsidRPr="00000000">
        <w:rPr>
          <w:rtl w:val="0"/>
        </w:rPr>
        <w:t xml:space="preserve">Búsqueda de </w:t>
      </w:r>
      <w:r w:rsidDel="00000000" w:rsidR="00000000" w:rsidRPr="00000000">
        <w:rPr>
          <w:i w:val="1"/>
          <w:rtl w:val="0"/>
        </w:rPr>
        <w:t xml:space="preserve">Hotspots</w:t>
      </w:r>
    </w:p>
    <w:p w:rsidR="00000000" w:rsidDel="00000000" w:rsidP="00000000" w:rsidRDefault="00000000" w:rsidRPr="00000000" w14:paraId="0000005E">
      <w:pPr>
        <w:spacing w:after="60" w:before="20" w:line="276" w:lineRule="auto"/>
        <w:rPr/>
      </w:pPr>
      <w:r w:rsidDel="00000000" w:rsidR="00000000" w:rsidRPr="00000000">
        <w:rPr>
          <w:rtl w:val="0"/>
        </w:rPr>
        <w:t xml:space="preserve">Se desarrolló un módulo que compara las secuencias en el alineamiento y </w:t>
      </w:r>
      <w:r w:rsidDel="00000000" w:rsidR="00000000" w:rsidRPr="00000000">
        <w:rPr>
          <w:rtl w:val="0"/>
        </w:rPr>
        <w:t xml:space="preserve">grafica</w:t>
      </w:r>
      <w:r w:rsidDel="00000000" w:rsidR="00000000" w:rsidRPr="00000000">
        <w:rPr>
          <w:rtl w:val="0"/>
        </w:rPr>
        <w:t xml:space="preserve"> su longitud, marcando con colores diferentes los sitios en los cuales se detecta una mayor variabilidad entre las distintas secuencias. </w:t>
      </w:r>
    </w:p>
    <w:p w:rsidR="00000000" w:rsidDel="00000000" w:rsidP="00000000" w:rsidRDefault="00000000" w:rsidRPr="00000000" w14:paraId="0000005F">
      <w:pPr>
        <w:spacing w:after="60" w:before="20" w:line="276" w:lineRule="auto"/>
        <w:rPr/>
      </w:pPr>
      <w:r w:rsidDel="00000000" w:rsidR="00000000" w:rsidRPr="00000000">
        <w:rPr>
          <w:rtl w:val="0"/>
        </w:rPr>
        <w:t xml:space="preserve">A continuación se muestra una captura de la salida de la herramienta, indicando con números en rojo las distintas funcionalidades.</w:t>
      </w:r>
    </w:p>
    <w:p w:rsidR="00000000" w:rsidDel="00000000" w:rsidP="00000000" w:rsidRDefault="00000000" w:rsidRPr="00000000" w14:paraId="00000060">
      <w:pPr>
        <w:spacing w:after="60" w:before="20" w:line="276" w:lineRule="auto"/>
        <w:rPr/>
      </w:pPr>
      <w:r w:rsidDel="00000000" w:rsidR="00000000" w:rsidRPr="00000000">
        <w:rPr>
          <w:rtl w:val="0"/>
        </w:rPr>
      </w:r>
    </w:p>
    <w:p w:rsidR="00000000" w:rsidDel="00000000" w:rsidP="00000000" w:rsidRDefault="00000000" w:rsidRPr="00000000" w14:paraId="00000061">
      <w:pPr>
        <w:spacing w:after="60" w:before="20" w:line="276" w:lineRule="auto"/>
        <w:rPr/>
      </w:pPr>
      <w:r w:rsidDel="00000000" w:rsidR="00000000" w:rsidRPr="00000000">
        <w:rPr/>
        <w:drawing>
          <wp:inline distB="114300" distT="114300" distL="114300" distR="114300">
            <wp:extent cx="5731200" cy="3136900"/>
            <wp:effectExtent b="12700" l="12700" r="12700" t="12700"/>
            <wp:docPr id="1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1200" cy="3136900"/>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spacing w:after="60" w:before="20" w:line="276" w:lineRule="auto"/>
        <w:rPr/>
      </w:pPr>
      <w:r w:rsidDel="00000000" w:rsidR="00000000" w:rsidRPr="00000000">
        <w:rPr>
          <w:sz w:val="20"/>
          <w:szCs w:val="20"/>
          <w:u w:val="single"/>
          <w:rtl w:val="0"/>
        </w:rPr>
        <w:t xml:space="preserve">Figura 4</w:t>
      </w:r>
      <w:r w:rsidDel="00000000" w:rsidR="00000000" w:rsidRPr="00000000">
        <w:rPr>
          <w:sz w:val="20"/>
          <w:szCs w:val="20"/>
          <w:rtl w:val="0"/>
        </w:rPr>
        <w:t xml:space="preserve">: Interfaz correspondiente a los resultados de la búsqueda de hotspots.</w:t>
      </w:r>
      <w:r w:rsidDel="00000000" w:rsidR="00000000" w:rsidRPr="00000000">
        <w:rPr>
          <w:rtl w:val="0"/>
        </w:rPr>
      </w:r>
    </w:p>
    <w:p w:rsidR="00000000" w:rsidDel="00000000" w:rsidP="00000000" w:rsidRDefault="00000000" w:rsidRPr="00000000" w14:paraId="00000063">
      <w:pPr>
        <w:spacing w:after="60" w:before="20" w:line="276" w:lineRule="auto"/>
        <w:rPr/>
      </w:pPr>
      <w:r w:rsidDel="00000000" w:rsidR="00000000" w:rsidRPr="00000000">
        <w:rPr>
          <w:rtl w:val="0"/>
        </w:rPr>
      </w:r>
    </w:p>
    <w:p w:rsidR="00000000" w:rsidDel="00000000" w:rsidP="00000000" w:rsidRDefault="00000000" w:rsidRPr="00000000" w14:paraId="00000064">
      <w:pPr>
        <w:spacing w:after="60" w:before="20" w:line="276" w:lineRule="auto"/>
        <w:rPr>
          <w:b w:val="1"/>
        </w:rPr>
      </w:pPr>
      <w:r w:rsidDel="00000000" w:rsidR="00000000" w:rsidRPr="00000000">
        <w:rPr>
          <w:b w:val="1"/>
          <w:rtl w:val="0"/>
        </w:rPr>
        <w:t xml:space="preserve">Funcionalidades:</w:t>
      </w:r>
    </w:p>
    <w:p w:rsidR="00000000" w:rsidDel="00000000" w:rsidP="00000000" w:rsidRDefault="00000000" w:rsidRPr="00000000" w14:paraId="00000065">
      <w:pPr>
        <w:numPr>
          <w:ilvl w:val="0"/>
          <w:numId w:val="2"/>
        </w:numPr>
        <w:spacing w:after="0" w:afterAutospacing="0" w:before="20" w:line="276" w:lineRule="auto"/>
        <w:ind w:left="720" w:hanging="360"/>
        <w:rPr>
          <w:u w:val="none"/>
        </w:rPr>
      </w:pPr>
      <w:r w:rsidDel="00000000" w:rsidR="00000000" w:rsidRPr="00000000">
        <w:rPr>
          <w:rtl w:val="0"/>
        </w:rPr>
        <w:t xml:space="preserve">La totalidad de la secuencia se divide en renglones, y se muestran los puntos en los cuales se detectaron cambios de una secuencia a otra con un color más profundo; mientras más profundo, más secuencias en las cuales la posición varió. </w:t>
      </w:r>
    </w:p>
    <w:p w:rsidR="00000000" w:rsidDel="00000000" w:rsidP="00000000" w:rsidRDefault="00000000" w:rsidRPr="00000000" w14:paraId="00000066">
      <w:pPr>
        <w:numPr>
          <w:ilvl w:val="0"/>
          <w:numId w:val="2"/>
        </w:numPr>
        <w:spacing w:after="0" w:afterAutospacing="0" w:before="0" w:beforeAutospacing="0" w:line="276" w:lineRule="auto"/>
        <w:ind w:left="720" w:hanging="360"/>
        <w:rPr>
          <w:u w:val="none"/>
        </w:rPr>
      </w:pPr>
      <w:r w:rsidDel="00000000" w:rsidR="00000000" w:rsidRPr="00000000">
        <w:rPr>
          <w:rtl w:val="0"/>
        </w:rPr>
        <w:t xml:space="preserve">A cada lado del gráfico se indican los rangos de posiciones ilustrados en cada barra de color. </w:t>
      </w:r>
    </w:p>
    <w:p w:rsidR="00000000" w:rsidDel="00000000" w:rsidP="00000000" w:rsidRDefault="00000000" w:rsidRPr="00000000" w14:paraId="00000067">
      <w:pPr>
        <w:numPr>
          <w:ilvl w:val="0"/>
          <w:numId w:val="2"/>
        </w:numPr>
        <w:spacing w:after="0" w:afterAutospacing="0" w:before="0" w:beforeAutospacing="0" w:line="276" w:lineRule="auto"/>
        <w:ind w:left="720" w:hanging="360"/>
        <w:rPr>
          <w:u w:val="none"/>
        </w:rPr>
      </w:pPr>
      <w:r w:rsidDel="00000000" w:rsidR="00000000" w:rsidRPr="00000000">
        <w:rPr>
          <w:rtl w:val="0"/>
        </w:rPr>
        <w:t xml:space="preserve">Rango de fechas seleccionado en la interfaz principal.</w:t>
      </w:r>
    </w:p>
    <w:p w:rsidR="00000000" w:rsidDel="00000000" w:rsidP="00000000" w:rsidRDefault="00000000" w:rsidRPr="00000000" w14:paraId="00000068">
      <w:pPr>
        <w:numPr>
          <w:ilvl w:val="0"/>
          <w:numId w:val="2"/>
        </w:numPr>
        <w:spacing w:after="60" w:before="0" w:beforeAutospacing="0" w:line="276" w:lineRule="auto"/>
        <w:ind w:left="720" w:hanging="360"/>
        <w:rPr>
          <w:u w:val="none"/>
        </w:rPr>
      </w:pPr>
      <w:r w:rsidDel="00000000" w:rsidR="00000000" w:rsidRPr="00000000">
        <w:rPr>
          <w:rtl w:val="0"/>
        </w:rPr>
        <w:t xml:space="preserve">Se muestra el total de posiciones en las cuales se detectó una variación entre las secuencias analizadas.</w:t>
      </w:r>
    </w:p>
    <w:p w:rsidR="00000000" w:rsidDel="00000000" w:rsidP="00000000" w:rsidRDefault="00000000" w:rsidRPr="00000000" w14:paraId="00000069">
      <w:pPr>
        <w:spacing w:after="60" w:before="20" w:line="276" w:lineRule="auto"/>
        <w:rPr/>
      </w:pPr>
      <w:r w:rsidDel="00000000" w:rsidR="00000000" w:rsidRPr="00000000">
        <w:rPr>
          <w:rtl w:val="0"/>
        </w:rPr>
      </w:r>
    </w:p>
    <w:p w:rsidR="00000000" w:rsidDel="00000000" w:rsidP="00000000" w:rsidRDefault="00000000" w:rsidRPr="00000000" w14:paraId="0000006A">
      <w:pPr>
        <w:spacing w:after="60" w:before="20" w:line="276" w:lineRule="auto"/>
        <w:rPr/>
      </w:pPr>
      <w:r w:rsidDel="00000000" w:rsidR="00000000" w:rsidRPr="00000000">
        <w:rPr>
          <w:rtl w:val="0"/>
        </w:rPr>
        <w:t xml:space="preserve">Cabe recalcar, que puede ocurrir que se detecte una gran variación en los extremos de la secuencia, esto es debido a la alineación de las secuencias donde por lo general se generan secciones al inicio y al final que no contienen nucleótidos.</w:t>
      </w:r>
    </w:p>
    <w:p w:rsidR="00000000" w:rsidDel="00000000" w:rsidP="00000000" w:rsidRDefault="00000000" w:rsidRPr="00000000" w14:paraId="0000006B">
      <w:pPr>
        <w:spacing w:after="60" w:before="20" w:line="276" w:lineRule="auto"/>
        <w:rPr/>
      </w:pPr>
      <w:sdt>
        <w:sdtPr>
          <w:tag w:val="goog_rdk_0"/>
        </w:sdtPr>
        <w:sdtContent>
          <w:commentRangeStart w:id="0"/>
        </w:sdtContent>
      </w:sdt>
      <w:r w:rsidDel="00000000" w:rsidR="00000000" w:rsidRPr="00000000">
        <w:rPr>
          <w:rtl w:val="0"/>
        </w:rPr>
        <w:t xml:space="preserve">El programa permite seleccionar un rango de fechas de las secuencias a comparar, para permitir seleccionar un subconjunto de las secuencias incluidas en el alineamiento.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C">
      <w:pPr>
        <w:pStyle w:val="Heading1"/>
        <w:spacing w:after="60" w:before="20" w:line="276" w:lineRule="auto"/>
        <w:rPr/>
      </w:pPr>
      <w:bookmarkStart w:colFirst="0" w:colLast="0" w:name="_heading=h.2qceshr5d4t" w:id="12"/>
      <w:bookmarkEnd w:id="12"/>
      <w:r w:rsidDel="00000000" w:rsidR="00000000" w:rsidRPr="00000000">
        <w:rPr>
          <w:rtl w:val="0"/>
        </w:rPr>
        <w:t xml:space="preserve">Ventajas y desventajas</w:t>
      </w:r>
    </w:p>
    <w:p w:rsidR="00000000" w:rsidDel="00000000" w:rsidP="00000000" w:rsidRDefault="00000000" w:rsidRPr="00000000" w14:paraId="0000006D">
      <w:pPr>
        <w:spacing w:after="60" w:before="20" w:line="276" w:lineRule="auto"/>
        <w:rPr/>
      </w:pPr>
      <w:r w:rsidDel="00000000" w:rsidR="00000000" w:rsidRPr="00000000">
        <w:rPr>
          <w:rtl w:val="0"/>
        </w:rPr>
      </w:r>
    </w:p>
    <w:p w:rsidR="00000000" w:rsidDel="00000000" w:rsidP="00000000" w:rsidRDefault="00000000" w:rsidRPr="00000000" w14:paraId="0000006E">
      <w:pPr>
        <w:numPr>
          <w:ilvl w:val="0"/>
          <w:numId w:val="1"/>
        </w:numPr>
        <w:spacing w:after="60" w:before="20" w:line="276" w:lineRule="auto"/>
        <w:ind w:left="720" w:hanging="360"/>
      </w:pPr>
      <w:r w:rsidDel="00000000" w:rsidR="00000000" w:rsidRPr="00000000">
        <w:rPr>
          <w:rtl w:val="0"/>
        </w:rPr>
        <w:t xml:space="preserve">Fácil uso.</w:t>
      </w:r>
    </w:p>
    <w:p w:rsidR="00000000" w:rsidDel="00000000" w:rsidP="00000000" w:rsidRDefault="00000000" w:rsidRPr="00000000" w14:paraId="0000006F">
      <w:pPr>
        <w:numPr>
          <w:ilvl w:val="0"/>
          <w:numId w:val="1"/>
        </w:numPr>
        <w:spacing w:after="60" w:before="20" w:line="276" w:lineRule="auto"/>
        <w:ind w:left="720" w:hanging="360"/>
      </w:pPr>
      <w:r w:rsidDel="00000000" w:rsidR="00000000" w:rsidRPr="00000000">
        <w:rPr>
          <w:rtl w:val="0"/>
        </w:rPr>
        <w:t xml:space="preserve">Rápido funcionamiento.</w:t>
      </w:r>
    </w:p>
    <w:p w:rsidR="00000000" w:rsidDel="00000000" w:rsidP="00000000" w:rsidRDefault="00000000" w:rsidRPr="00000000" w14:paraId="00000070">
      <w:pPr>
        <w:numPr>
          <w:ilvl w:val="0"/>
          <w:numId w:val="1"/>
        </w:numPr>
        <w:spacing w:after="60" w:before="20" w:line="276" w:lineRule="auto"/>
        <w:ind w:left="720" w:hanging="360"/>
      </w:pPr>
      <w:r w:rsidDel="00000000" w:rsidR="00000000" w:rsidRPr="00000000">
        <w:rPr>
          <w:rtl w:val="0"/>
        </w:rPr>
        <w:t xml:space="preserve">Adaptable o mejorable a otros análisis.</w:t>
      </w:r>
    </w:p>
    <w:p w:rsidR="00000000" w:rsidDel="00000000" w:rsidP="00000000" w:rsidRDefault="00000000" w:rsidRPr="00000000" w14:paraId="00000071">
      <w:pPr>
        <w:spacing w:after="60" w:before="20" w:line="276" w:lineRule="auto"/>
        <w:rPr/>
      </w:pPr>
      <w:r w:rsidDel="00000000" w:rsidR="00000000" w:rsidRPr="00000000">
        <w:rPr>
          <w:rtl w:val="0"/>
        </w:rPr>
      </w:r>
    </w:p>
    <w:p w:rsidR="00000000" w:rsidDel="00000000" w:rsidP="00000000" w:rsidRDefault="00000000" w:rsidRPr="00000000" w14:paraId="00000072">
      <w:pPr>
        <w:numPr>
          <w:ilvl w:val="0"/>
          <w:numId w:val="5"/>
        </w:numPr>
        <w:spacing w:after="60" w:before="20" w:line="276" w:lineRule="auto"/>
        <w:ind w:left="720" w:hanging="360"/>
      </w:pPr>
      <w:r w:rsidDel="00000000" w:rsidR="00000000" w:rsidRPr="00000000">
        <w:rPr>
          <w:rtl w:val="0"/>
        </w:rPr>
        <w:t xml:space="preserve">Limitado a archivos de secuencias que sigan el formato designado.</w:t>
      </w:r>
    </w:p>
    <w:p w:rsidR="00000000" w:rsidDel="00000000" w:rsidP="00000000" w:rsidRDefault="00000000" w:rsidRPr="00000000" w14:paraId="00000073">
      <w:pPr>
        <w:numPr>
          <w:ilvl w:val="0"/>
          <w:numId w:val="5"/>
        </w:numPr>
        <w:spacing w:after="60" w:before="20" w:line="276" w:lineRule="auto"/>
        <w:ind w:left="720" w:hanging="360"/>
      </w:pPr>
      <w:r w:rsidDel="00000000" w:rsidR="00000000" w:rsidRPr="00000000">
        <w:rPr>
          <w:rtl w:val="0"/>
        </w:rPr>
        <w:t xml:space="preserve">Depende fuertemente del dataset suministrado para obtener información concisa.</w:t>
      </w:r>
    </w:p>
    <w:p w:rsidR="00000000" w:rsidDel="00000000" w:rsidP="00000000" w:rsidRDefault="00000000" w:rsidRPr="00000000" w14:paraId="00000074">
      <w:pPr>
        <w:spacing w:after="60" w:before="20" w:line="276" w:lineRule="auto"/>
        <w:ind w:left="720" w:firstLine="0"/>
        <w:rPr/>
      </w:pPr>
      <w:r w:rsidDel="00000000" w:rsidR="00000000" w:rsidRPr="00000000">
        <w:rPr>
          <w:rtl w:val="0"/>
        </w:rPr>
      </w:r>
    </w:p>
    <w:p w:rsidR="00000000" w:rsidDel="00000000" w:rsidP="00000000" w:rsidRDefault="00000000" w:rsidRPr="00000000" w14:paraId="00000075">
      <w:pPr>
        <w:pStyle w:val="Heading1"/>
        <w:spacing w:after="60" w:before="20" w:line="276" w:lineRule="auto"/>
        <w:rPr/>
      </w:pPr>
      <w:bookmarkStart w:colFirst="0" w:colLast="0" w:name="_heading=h.dt6auoe291gw" w:id="13"/>
      <w:bookmarkEnd w:id="13"/>
      <w:r w:rsidDel="00000000" w:rsidR="00000000" w:rsidRPr="00000000">
        <w:rPr>
          <w:rtl w:val="0"/>
        </w:rPr>
        <w:t xml:space="preserve">Aplicación en la práctica</w:t>
      </w:r>
    </w:p>
    <w:p w:rsidR="00000000" w:rsidDel="00000000" w:rsidP="00000000" w:rsidRDefault="00000000" w:rsidRPr="00000000" w14:paraId="00000076">
      <w:pPr>
        <w:spacing w:after="60" w:before="20" w:line="276" w:lineRule="auto"/>
        <w:rPr/>
      </w:pPr>
      <w:r w:rsidDel="00000000" w:rsidR="00000000" w:rsidRPr="00000000">
        <w:rPr>
          <w:rtl w:val="0"/>
        </w:rPr>
      </w:r>
    </w:p>
    <w:p w:rsidR="00000000" w:rsidDel="00000000" w:rsidP="00000000" w:rsidRDefault="00000000" w:rsidRPr="00000000" w14:paraId="00000077">
      <w:pPr>
        <w:spacing w:after="60" w:before="20" w:line="276" w:lineRule="auto"/>
        <w:rPr/>
      </w:pPr>
      <w:r w:rsidDel="00000000" w:rsidR="00000000" w:rsidRPr="00000000">
        <w:rPr>
          <w:rtl w:val="0"/>
        </w:rPr>
        <w:t xml:space="preserve">Para el caso del análisis del virus del SARS-COV-2, se puede observar en la siguiente gráfica que la variación entre las secuencias del virus está correlacionado con el aumento en la cantidad de vacunaciones.</w:t>
      </w:r>
      <w:r w:rsidDel="00000000" w:rsidR="00000000" w:rsidRPr="00000000">
        <w:rPr>
          <w:rtl w:val="0"/>
        </w:rPr>
      </w:r>
    </w:p>
    <w:p w:rsidR="00000000" w:rsidDel="00000000" w:rsidP="00000000" w:rsidRDefault="00000000" w:rsidRPr="00000000" w14:paraId="00000078">
      <w:pPr>
        <w:spacing w:after="60" w:before="20" w:line="276" w:lineRule="auto"/>
        <w:rPr/>
      </w:pPr>
      <w:r w:rsidDel="00000000" w:rsidR="00000000" w:rsidRPr="00000000">
        <w:rPr/>
        <w:drawing>
          <wp:inline distB="114300" distT="114300" distL="114300" distR="114300">
            <wp:extent cx="5269718" cy="4595813"/>
            <wp:effectExtent b="12700" l="12700" r="12700" t="12700"/>
            <wp:docPr id="19" name="image5.png"/>
            <a:graphic>
              <a:graphicData uri="http://schemas.openxmlformats.org/drawingml/2006/picture">
                <pic:pic>
                  <pic:nvPicPr>
                    <pic:cNvPr id="0" name="image5.png"/>
                    <pic:cNvPicPr preferRelativeResize="0"/>
                  </pic:nvPicPr>
                  <pic:blipFill>
                    <a:blip r:embed="rId21"/>
                    <a:srcRect b="0" l="0" r="830" t="0"/>
                    <a:stretch>
                      <a:fillRect/>
                    </a:stretch>
                  </pic:blipFill>
                  <pic:spPr>
                    <a:xfrm>
                      <a:off x="0" y="0"/>
                      <a:ext cx="5269718" cy="4595813"/>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79">
      <w:pPr>
        <w:spacing w:after="60" w:before="20" w:line="276" w:lineRule="auto"/>
        <w:rPr/>
      </w:pPr>
      <w:r w:rsidDel="00000000" w:rsidR="00000000" w:rsidRPr="00000000">
        <w:rPr>
          <w:sz w:val="20"/>
          <w:szCs w:val="20"/>
          <w:u w:val="single"/>
          <w:rtl w:val="0"/>
        </w:rPr>
        <w:t xml:space="preserve">Figura 5</w:t>
      </w:r>
      <w:r w:rsidDel="00000000" w:rsidR="00000000" w:rsidRPr="00000000">
        <w:rPr>
          <w:sz w:val="20"/>
          <w:szCs w:val="20"/>
          <w:rtl w:val="0"/>
        </w:rPr>
        <w:t xml:space="preserve">: Resultados de la variación para un conjunto de 28 secuencias, representando como eje de abscisas la cantidad de vacunaciones para la fecha asociada a cada secuencia. </w:t>
      </w:r>
      <w:r w:rsidDel="00000000" w:rsidR="00000000" w:rsidRPr="00000000">
        <w:rPr>
          <w:rtl w:val="0"/>
        </w:rPr>
      </w:r>
    </w:p>
    <w:p w:rsidR="00000000" w:rsidDel="00000000" w:rsidP="00000000" w:rsidRDefault="00000000" w:rsidRPr="00000000" w14:paraId="0000007A">
      <w:pPr>
        <w:spacing w:after="60" w:before="20" w:line="276" w:lineRule="auto"/>
        <w:rPr/>
      </w:pPr>
      <w:r w:rsidDel="00000000" w:rsidR="00000000" w:rsidRPr="00000000">
        <w:rPr>
          <w:rtl w:val="0"/>
        </w:rPr>
      </w:r>
    </w:p>
    <w:p w:rsidR="00000000" w:rsidDel="00000000" w:rsidP="00000000" w:rsidRDefault="00000000" w:rsidRPr="00000000" w14:paraId="0000007B">
      <w:pPr>
        <w:pStyle w:val="Heading1"/>
        <w:spacing w:after="60" w:before="20" w:line="276" w:lineRule="auto"/>
        <w:rPr/>
      </w:pPr>
      <w:bookmarkStart w:colFirst="0" w:colLast="0" w:name="_heading=h.jhc2shdlwdxf" w:id="14"/>
      <w:bookmarkEnd w:id="14"/>
      <w:r w:rsidDel="00000000" w:rsidR="00000000" w:rsidRPr="00000000">
        <w:rPr>
          <w:rtl w:val="0"/>
        </w:rPr>
        <w:t xml:space="preserve">Perspectiva a futuro</w:t>
      </w:r>
      <w:r w:rsidDel="00000000" w:rsidR="00000000" w:rsidRPr="00000000">
        <w:rPr>
          <w:rtl w:val="0"/>
        </w:rPr>
      </w:r>
    </w:p>
    <w:p w:rsidR="00000000" w:rsidDel="00000000" w:rsidP="00000000" w:rsidRDefault="00000000" w:rsidRPr="00000000" w14:paraId="0000007C">
      <w:pPr>
        <w:spacing w:after="60" w:before="20" w:line="276" w:lineRule="auto"/>
        <w:rPr/>
      </w:pPr>
      <w:r w:rsidDel="00000000" w:rsidR="00000000" w:rsidRPr="00000000">
        <w:rPr>
          <w:rtl w:val="0"/>
        </w:rPr>
      </w:r>
    </w:p>
    <w:p w:rsidR="00000000" w:rsidDel="00000000" w:rsidP="00000000" w:rsidRDefault="00000000" w:rsidRPr="00000000" w14:paraId="0000007D">
      <w:pPr>
        <w:spacing w:after="60" w:before="20" w:line="276" w:lineRule="auto"/>
        <w:rPr/>
      </w:pPr>
      <w:r w:rsidDel="00000000" w:rsidR="00000000" w:rsidRPr="00000000">
        <w:rPr>
          <w:rtl w:val="0"/>
        </w:rPr>
        <w:t xml:space="preserve">Ampliar las funcionalidades disponibles para que el análisis pueda hacerse a nivel proteico teniendo como base la secuencia de ADN, de tal manera que puedan detectarse cambios de nucleótidos que no generen un cambio en el aminoácido producido, también que puedan detectarse las distintas zonas codificantes y no codificantes dentro de la secuencia de ADN provista. Además, cabe recalcar que el uso de la herramienta es extrapolable a cualquier otro organismo, que </w:t>
      </w:r>
      <w:r w:rsidDel="00000000" w:rsidR="00000000" w:rsidRPr="00000000">
        <w:rPr>
          <w:rtl w:val="0"/>
        </w:rPr>
        <w:t xml:space="preserve">respeten</w:t>
      </w:r>
      <w:r w:rsidDel="00000000" w:rsidR="00000000" w:rsidRPr="00000000">
        <w:rPr>
          <w:rtl w:val="0"/>
        </w:rPr>
        <w:t xml:space="preserve"> los formatos de archivos necesarios.</w:t>
      </w:r>
    </w:p>
    <w:p w:rsidR="00000000" w:rsidDel="00000000" w:rsidP="00000000" w:rsidRDefault="00000000" w:rsidRPr="00000000" w14:paraId="0000007E">
      <w:pPr>
        <w:spacing w:after="60" w:before="20" w:line="276" w:lineRule="auto"/>
        <w:rPr/>
      </w:pPr>
      <w:r w:rsidDel="00000000" w:rsidR="00000000" w:rsidRPr="00000000">
        <w:rPr>
          <w:rtl w:val="0"/>
        </w:rPr>
      </w:r>
    </w:p>
    <w:p w:rsidR="00000000" w:rsidDel="00000000" w:rsidP="00000000" w:rsidRDefault="00000000" w:rsidRPr="00000000" w14:paraId="0000007F">
      <w:pPr>
        <w:pStyle w:val="Heading1"/>
        <w:spacing w:after="60" w:before="20" w:line="276" w:lineRule="auto"/>
        <w:rPr/>
      </w:pPr>
      <w:bookmarkStart w:colFirst="0" w:colLast="0" w:name="_heading=h.d0zc6mtqs9zc" w:id="15"/>
      <w:bookmarkEnd w:id="15"/>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80">
      <w:pPr>
        <w:spacing w:after="60" w:before="20" w:line="276" w:lineRule="auto"/>
        <w:ind w:firstLine="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60" w:before="20"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Cagliani, R., Forni, D., Clerici, M., &amp; Sironi, M. (2020). Computational Inference of Selection Underlying the Evolution of the Novel Coronavirus, Severe Acute Respiratory Syndrome Coronavirus 2. Journal of virology, 94(12), e00411-20. </w:t>
      </w:r>
      <w:hyperlink r:id="rId22">
        <w:r w:rsidDel="00000000" w:rsidR="00000000" w:rsidRPr="00000000">
          <w:rPr>
            <w:rFonts w:ascii="Times New Roman" w:cs="Times New Roman" w:eastAsia="Times New Roman" w:hAnsi="Times New Roman"/>
            <w:color w:val="1155cc"/>
            <w:sz w:val="24"/>
            <w:szCs w:val="24"/>
            <w:u w:val="single"/>
            <w:rtl w:val="0"/>
          </w:rPr>
          <w:t xml:space="preserve">https://doi.org/10.1128/JVI.00411-20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hd w:fill="ffffff" w:val="clear"/>
        <w:spacing w:after="240" w:before="240" w:line="276" w:lineRule="auto"/>
        <w:ind w:left="720" w:firstLine="72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rtl w:val="0"/>
        </w:rPr>
        <w:t xml:space="preserve">Starr, T. N., Greaney, A. J., Hilton, S. K., Ellis, D., Crawford, K., Dingens, A. S., Navarro, M. J., Bowen, J. E., Tortorici, M. A., Walls, A. C., King, N. P., Veesler, D., &amp; Bloom, J. D. (2020). Deep Mutational Scanning of SARS-CoV-2 Receptor Binding Domain Reveals Constraints on Folding and ACE2 Binding. Cell, 182(5), 1295–1310.e20. </w:t>
      </w:r>
      <w:hyperlink r:id="rId23">
        <w:r w:rsidDel="00000000" w:rsidR="00000000" w:rsidRPr="00000000">
          <w:rPr>
            <w:rFonts w:ascii="Times New Roman" w:cs="Times New Roman" w:eastAsia="Times New Roman" w:hAnsi="Times New Roman"/>
            <w:color w:val="1155cc"/>
            <w:sz w:val="24"/>
            <w:szCs w:val="24"/>
            <w:u w:val="single"/>
            <w:rtl w:val="0"/>
          </w:rPr>
          <w:t xml:space="preserve">https://doi.org/10.1016/j.cell.2020.08.012</w:t>
        </w:r>
      </w:hyperlink>
      <w:r w:rsidDel="00000000" w:rsidR="00000000" w:rsidRPr="00000000">
        <w:rPr>
          <w:rtl w:val="0"/>
        </w:rPr>
      </w:r>
    </w:p>
    <w:p w:rsidR="00000000" w:rsidDel="00000000" w:rsidP="00000000" w:rsidRDefault="00000000" w:rsidRPr="00000000" w14:paraId="00000083">
      <w:pPr>
        <w:spacing w:after="60" w:before="20"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Van Egeren D, Novokhodko A, Stoddard M, Tran U, Zetter B, et al. (2021) Risk of rapid evolutionary escape from biomedical interventions targeting SARS-CoV-2 spike protein. PLOS ONE 16(4): e0250780. </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https://doi.org/10.1371/journal.pone.0250780</w:t>
        </w:r>
      </w:hyperlink>
      <w:r w:rsidDel="00000000" w:rsidR="00000000" w:rsidRPr="00000000">
        <w:rPr>
          <w:rtl w:val="0"/>
        </w:rPr>
      </w:r>
    </w:p>
    <w:p w:rsidR="00000000" w:rsidDel="00000000" w:rsidP="00000000" w:rsidRDefault="00000000" w:rsidRPr="00000000" w14:paraId="00000084">
      <w:pPr>
        <w:shd w:fill="ffffff" w:val="clear"/>
        <w:spacing w:after="240" w:before="240" w:line="276"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NCBI. (24 de Octubre de 2021). </w:t>
      </w:r>
      <w:r w:rsidDel="00000000" w:rsidR="00000000" w:rsidRPr="00000000">
        <w:rPr>
          <w:rFonts w:ascii="Times New Roman" w:cs="Times New Roman" w:eastAsia="Times New Roman" w:hAnsi="Times New Roman"/>
          <w:i w:val="1"/>
          <w:sz w:val="24"/>
          <w:szCs w:val="24"/>
          <w:rtl w:val="0"/>
        </w:rPr>
        <w:t xml:space="preserve">NCBI</w:t>
      </w:r>
      <w:r w:rsidDel="00000000" w:rsidR="00000000" w:rsidRPr="00000000">
        <w:rPr>
          <w:rFonts w:ascii="Times New Roman" w:cs="Times New Roman" w:eastAsia="Times New Roman" w:hAnsi="Times New Roman"/>
          <w:sz w:val="24"/>
          <w:szCs w:val="24"/>
          <w:rtl w:val="0"/>
        </w:rPr>
        <w:t xml:space="preserve">. Obtenido de NCBI: </w:t>
      </w:r>
      <w:hyperlink r:id="rId25">
        <w:r w:rsidDel="00000000" w:rsidR="00000000" w:rsidRPr="00000000">
          <w:rPr>
            <w:rFonts w:ascii="Times New Roman" w:cs="Times New Roman" w:eastAsia="Times New Roman" w:hAnsi="Times New Roman"/>
            <w:color w:val="1155cc"/>
            <w:sz w:val="24"/>
            <w:szCs w:val="24"/>
            <w:u w:val="single"/>
            <w:rtl w:val="0"/>
          </w:rPr>
          <w:t xml:space="preserve">https://www.ncbi.nlm.nih.gov/labs/virus/vssi/#/virus?SeqType_s=Nucleotide&amp;VirusLineage_ss=SARS-CoV-2,%20taxid:2697049</w:t>
        </w:r>
      </w:hyperlink>
      <w:r w:rsidDel="00000000" w:rsidR="00000000" w:rsidRPr="00000000">
        <w:rPr>
          <w:rtl w:val="0"/>
        </w:rPr>
      </w:r>
    </w:p>
    <w:p w:rsidR="00000000" w:rsidDel="00000000" w:rsidP="00000000" w:rsidRDefault="00000000" w:rsidRPr="00000000" w14:paraId="00000085">
      <w:pPr>
        <w:shd w:fill="ffffff" w:val="clear"/>
        <w:spacing w:after="240" w:before="240" w:line="276"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Change Data Lab. (24 de Octubre de 2021). </w:t>
      </w:r>
      <w:r w:rsidDel="00000000" w:rsidR="00000000" w:rsidRPr="00000000">
        <w:rPr>
          <w:rFonts w:ascii="Times New Roman" w:cs="Times New Roman" w:eastAsia="Times New Roman" w:hAnsi="Times New Roman"/>
          <w:i w:val="1"/>
          <w:sz w:val="24"/>
          <w:szCs w:val="24"/>
          <w:rtl w:val="0"/>
        </w:rPr>
        <w:t xml:space="preserve">Our World in Data</w:t>
      </w:r>
      <w:r w:rsidDel="00000000" w:rsidR="00000000" w:rsidRPr="00000000">
        <w:rPr>
          <w:rFonts w:ascii="Times New Roman" w:cs="Times New Roman" w:eastAsia="Times New Roman" w:hAnsi="Times New Roman"/>
          <w:sz w:val="24"/>
          <w:szCs w:val="24"/>
          <w:rtl w:val="0"/>
        </w:rPr>
        <w:t xml:space="preserve">. Obtenido de Our World in Data: </w:t>
      </w:r>
      <w:hyperlink r:id="rId26">
        <w:r w:rsidDel="00000000" w:rsidR="00000000" w:rsidRPr="00000000">
          <w:rPr>
            <w:rFonts w:ascii="Times New Roman" w:cs="Times New Roman" w:eastAsia="Times New Roman" w:hAnsi="Times New Roman"/>
            <w:color w:val="1155cc"/>
            <w:sz w:val="24"/>
            <w:szCs w:val="24"/>
            <w:u w:val="single"/>
            <w:rtl w:val="0"/>
          </w:rPr>
          <w:t xml:space="preserve">https://ourworldindata.org/covid-vaccinations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240" w:before="240" w:line="276"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Qt company. (24 de Octubre de 2021). </w:t>
      </w:r>
      <w:r w:rsidDel="00000000" w:rsidR="00000000" w:rsidRPr="00000000">
        <w:rPr>
          <w:rFonts w:ascii="Times New Roman" w:cs="Times New Roman" w:eastAsia="Times New Roman" w:hAnsi="Times New Roman"/>
          <w:i w:val="1"/>
          <w:sz w:val="24"/>
          <w:szCs w:val="24"/>
          <w:rtl w:val="0"/>
        </w:rPr>
        <w:t xml:space="preserve">Qt Documentation</w:t>
      </w:r>
      <w:r w:rsidDel="00000000" w:rsidR="00000000" w:rsidRPr="00000000">
        <w:rPr>
          <w:rFonts w:ascii="Times New Roman" w:cs="Times New Roman" w:eastAsia="Times New Roman" w:hAnsi="Times New Roman"/>
          <w:sz w:val="24"/>
          <w:szCs w:val="24"/>
          <w:rtl w:val="0"/>
        </w:rPr>
        <w:t xml:space="preserve">. Obtenido de Qt Documentation: </w:t>
      </w:r>
      <w:hyperlink r:id="rId27">
        <w:r w:rsidDel="00000000" w:rsidR="00000000" w:rsidRPr="00000000">
          <w:rPr>
            <w:rFonts w:ascii="Times New Roman" w:cs="Times New Roman" w:eastAsia="Times New Roman" w:hAnsi="Times New Roman"/>
            <w:color w:val="1155cc"/>
            <w:sz w:val="24"/>
            <w:szCs w:val="24"/>
            <w:u w:val="single"/>
            <w:rtl w:val="0"/>
          </w:rPr>
          <w:t xml:space="preserve">https://doc.qt.io/qtcreator/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after="60" w:before="20" w:line="276"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60" w:before="20" w:line="276" w:lineRule="auto"/>
        <w:ind w:left="720" w:firstLine="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60" w:before="20" w:line="276" w:lineRule="auto"/>
        <w:jc w:val="both"/>
        <w:rPr/>
      </w:pPr>
      <w:bookmarkStart w:colFirst="0" w:colLast="0" w:name="_heading=h.1t3h5sf" w:id="16"/>
      <w:bookmarkEnd w:id="16"/>
      <w:r w:rsidDel="00000000" w:rsidR="00000000" w:rsidRPr="00000000">
        <w:rPr>
          <w:rtl w:val="0"/>
        </w:rPr>
      </w:r>
    </w:p>
    <w:p w:rsidR="00000000" w:rsidDel="00000000" w:rsidP="00000000" w:rsidRDefault="00000000" w:rsidRPr="00000000" w14:paraId="0000008A">
      <w:pPr>
        <w:spacing w:after="60" w:before="20" w:line="276" w:lineRule="auto"/>
        <w:jc w:val="both"/>
        <w:rPr/>
      </w:pPr>
      <w:r w:rsidDel="00000000" w:rsidR="00000000" w:rsidRPr="00000000">
        <w:rPr>
          <w:rtl w:val="0"/>
        </w:rPr>
      </w:r>
    </w:p>
    <w:sectPr>
      <w:footerReference r:id="rId28" w:type="defaul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ías Machtey" w:id="0" w:date="2021-10-19T12:02:18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bueno!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419"/>
        <w:tab w:val="right" w:pos="8838"/>
      </w:tabs>
      <w:spacing w:line="240" w:lineRule="auto"/>
      <w:jc w:val="right"/>
      <w:rPr>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419"/>
        <w:tab w:val="right" w:pos="8838"/>
      </w:tabs>
      <w:spacing w:line="240" w:lineRule="auto"/>
      <w:jc w:val="right"/>
      <w:rPr>
        <w:color w:val="000000"/>
      </w:rPr>
    </w:pPr>
    <w:r w:rsidDel="00000000" w:rsidR="00000000" w:rsidRPr="00000000">
      <w:rPr>
        <w:color w:val="000000"/>
        <w:sz w:val="20"/>
        <w:szCs w:val="20"/>
        <w:rtl w:val="0"/>
      </w:rPr>
      <w:t xml:space="preserve">Página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sz w:val="20"/>
        <w:szCs w:val="20"/>
        <w:rtl w:val="0"/>
      </w:rPr>
      <w:t xml:space="preserve"> de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sz w:val="40"/>
      <w:szCs w:val="40"/>
    </w:rPr>
  </w:style>
  <w:style w:type="paragraph" w:styleId="Heading2">
    <w:name w:val="heading 2"/>
    <w:basedOn w:val="Normal"/>
    <w:next w:val="Normal"/>
    <w:pPr>
      <w:keepNext w:val="1"/>
      <w:keepLines w:val="1"/>
      <w:jc w:val="both"/>
    </w:pPr>
    <w:rPr>
      <w:color w:val="f79646"/>
      <w:sz w:val="32"/>
      <w:szCs w:val="32"/>
    </w:rPr>
  </w:style>
  <w:style w:type="paragraph" w:styleId="Heading3">
    <w:name w:val="heading 3"/>
    <w:basedOn w:val="Normal"/>
    <w:next w:val="Normal"/>
    <w:pPr>
      <w:keepNext w:val="1"/>
      <w:keepLines w:val="1"/>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454F44"/>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paragraph" w:styleId="Textodeglobo">
    <w:name w:val="Balloon Text"/>
    <w:basedOn w:val="Normal"/>
    <w:link w:val="TextodegloboCar"/>
    <w:uiPriority w:val="99"/>
    <w:semiHidden w:val="1"/>
    <w:unhideWhenUsed w:val="1"/>
    <w:rsid w:val="008E55BB"/>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E55BB"/>
    <w:rPr>
      <w:rFonts w:ascii="Tahoma" w:cs="Tahoma" w:hAnsi="Tahoma"/>
      <w:sz w:val="16"/>
      <w:szCs w:val="16"/>
    </w:rPr>
  </w:style>
  <w:style w:type="paragraph" w:styleId="Encabezado">
    <w:name w:val="header"/>
    <w:basedOn w:val="Normal"/>
    <w:link w:val="EncabezadoCar"/>
    <w:uiPriority w:val="99"/>
    <w:unhideWhenUsed w:val="1"/>
    <w:rsid w:val="008E55BB"/>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8E55BB"/>
  </w:style>
  <w:style w:type="paragraph" w:styleId="Piedepgina">
    <w:name w:val="footer"/>
    <w:basedOn w:val="Normal"/>
    <w:link w:val="PiedepginaCar"/>
    <w:uiPriority w:val="99"/>
    <w:unhideWhenUsed w:val="1"/>
    <w:rsid w:val="008E55BB"/>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8E55BB"/>
  </w:style>
  <w:style w:type="character" w:styleId="Hipervnculo">
    <w:name w:val="Hyperlink"/>
    <w:basedOn w:val="Fuentedeprrafopredeter"/>
    <w:uiPriority w:val="99"/>
    <w:unhideWhenUsed w:val="1"/>
    <w:rsid w:val="00334400"/>
    <w:rPr>
      <w:color w:val="0000ff" w:themeColor="hyperlink"/>
      <w:u w:val="single"/>
    </w:rPr>
  </w:style>
  <w:style w:type="character" w:styleId="Mencinsinresolver">
    <w:name w:val="Unresolved Mention"/>
    <w:basedOn w:val="Fuentedeprrafopredeter"/>
    <w:uiPriority w:val="99"/>
    <w:semiHidden w:val="1"/>
    <w:unhideWhenUsed w:val="1"/>
    <w:rsid w:val="00676414"/>
    <w:rPr>
      <w:color w:val="605e5c"/>
      <w:shd w:color="auto" w:fill="e1dfdd" w:val="clear"/>
    </w:rPr>
  </w:style>
  <w:style w:type="character" w:styleId="Hipervnculovisitado">
    <w:name w:val="FollowedHyperlink"/>
    <w:basedOn w:val="Fuentedeprrafopredeter"/>
    <w:uiPriority w:val="99"/>
    <w:semiHidden w:val="1"/>
    <w:unhideWhenUsed w:val="1"/>
    <w:rsid w:val="005A4AA1"/>
    <w:rPr>
      <w:color w:val="800080" w:themeColor="followedHyperlink"/>
      <w:u w:val="single"/>
    </w:rPr>
  </w:style>
  <w:style w:type="paragraph" w:styleId="TtuloTDC">
    <w:name w:val="TOC Heading"/>
    <w:basedOn w:val="Ttulo1"/>
    <w:next w:val="Normal"/>
    <w:uiPriority w:val="39"/>
    <w:unhideWhenUsed w:val="1"/>
    <w:qFormat w:val="1"/>
    <w:rsid w:val="00203D33"/>
    <w:pPr>
      <w:spacing w:after="0" w:before="240" w:line="259" w:lineRule="auto"/>
      <w:outlineLvl w:val="9"/>
    </w:pPr>
    <w:rPr>
      <w:rFonts w:asciiTheme="majorHAnsi" w:cstheme="majorBidi" w:eastAsiaTheme="majorEastAsia" w:hAnsiTheme="majorHAnsi"/>
      <w:color w:val="365f91" w:themeColor="accent1" w:themeShade="0000BF"/>
      <w:sz w:val="32"/>
      <w:szCs w:val="32"/>
      <w:lang w:eastAsia="es-ES" w:val="es-ES"/>
    </w:rPr>
  </w:style>
  <w:style w:type="paragraph" w:styleId="TDC1">
    <w:name w:val="toc 1"/>
    <w:basedOn w:val="Normal"/>
    <w:next w:val="Normal"/>
    <w:autoRedefine w:val="1"/>
    <w:uiPriority w:val="39"/>
    <w:unhideWhenUsed w:val="1"/>
    <w:rsid w:val="00203D33"/>
    <w:pPr>
      <w:spacing w:after="100"/>
    </w:pPr>
  </w:style>
  <w:style w:type="paragraph" w:styleId="TDC2">
    <w:name w:val="toc 2"/>
    <w:basedOn w:val="Normal"/>
    <w:next w:val="Normal"/>
    <w:autoRedefine w:val="1"/>
    <w:uiPriority w:val="39"/>
    <w:unhideWhenUsed w:val="1"/>
    <w:rsid w:val="00050468"/>
    <w:pPr>
      <w:spacing w:after="100" w:line="259" w:lineRule="auto"/>
      <w:ind w:left="216"/>
    </w:pPr>
    <w:rPr>
      <w:rFonts w:cs="Times New Roman" w:asciiTheme="minorHAnsi" w:eastAsiaTheme="minorEastAsia" w:hAnsiTheme="minorHAnsi"/>
      <w:lang w:eastAsia="es-ES" w:val="es-ES"/>
    </w:rPr>
  </w:style>
  <w:style w:type="paragraph" w:styleId="TDC3">
    <w:name w:val="toc 3"/>
    <w:basedOn w:val="Normal"/>
    <w:next w:val="Normal"/>
    <w:autoRedefine w:val="1"/>
    <w:uiPriority w:val="39"/>
    <w:unhideWhenUsed w:val="1"/>
    <w:rsid w:val="00203D33"/>
    <w:pPr>
      <w:spacing w:after="100" w:line="259" w:lineRule="auto"/>
      <w:ind w:left="440"/>
    </w:pPr>
    <w:rPr>
      <w:rFonts w:cs="Times New Roman" w:asciiTheme="minorHAnsi" w:eastAsiaTheme="minorEastAsia" w:hAnsiTheme="minorHAnsi"/>
      <w:lang w:eastAsia="es-ES" w:val="es-E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doi.org/10.1128/JVI.00411-20" TargetMode="External"/><Relationship Id="rId21" Type="http://schemas.openxmlformats.org/officeDocument/2006/relationships/image" Target="media/image5.png"/><Relationship Id="rId24" Type="http://schemas.openxmlformats.org/officeDocument/2006/relationships/hyperlink" Target="https://doi.org/10.1371/journal.pone.0250780" TargetMode="External"/><Relationship Id="rId23" Type="http://schemas.openxmlformats.org/officeDocument/2006/relationships/hyperlink" Target="https://doi.org/10.1016/j.cell.2020.08.01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26" Type="http://schemas.openxmlformats.org/officeDocument/2006/relationships/hyperlink" Target="https://ourworldindata.org/covid-vaccinations" TargetMode="External"/><Relationship Id="rId25" Type="http://schemas.openxmlformats.org/officeDocument/2006/relationships/hyperlink" Target="https://www.ncbi.nlm.nih.gov/labs/virus/vssi/#/virus?SeqType_s=Nucleotide&amp;VirusLineage_ss=SARS-CoV-2,%20taxid:2697049" TargetMode="External"/><Relationship Id="rId28" Type="http://schemas.openxmlformats.org/officeDocument/2006/relationships/footer" Target="footer1.xml"/><Relationship Id="rId27" Type="http://schemas.openxmlformats.org/officeDocument/2006/relationships/hyperlink" Target="https://doc.qt.io/qtcreato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www.ncbi.nlm.nih.gov/pmc/articles/PMC7307108/" TargetMode="External"/><Relationship Id="rId10" Type="http://schemas.openxmlformats.org/officeDocument/2006/relationships/image" Target="media/image7.jpg"/><Relationship Id="rId13" Type="http://schemas.openxmlformats.org/officeDocument/2006/relationships/hyperlink" Target="https://www.ncbi.nlm.nih.gov/pmc/articles/PMC7418704/" TargetMode="External"/><Relationship Id="rId12" Type="http://schemas.openxmlformats.org/officeDocument/2006/relationships/hyperlink" Target="https://www.ncbi.nlm.nih.gov/pmc/articles/PMC7307108/" TargetMode="External"/><Relationship Id="rId15" Type="http://schemas.openxmlformats.org/officeDocument/2006/relationships/hyperlink" Target="https://journals.plos.org/plosone/article?id=10.1371/journal.pone.0250780" TargetMode="External"/><Relationship Id="rId14" Type="http://schemas.openxmlformats.org/officeDocument/2006/relationships/hyperlink" Target="https://www.ncbi.nlm.nih.gov/pmc/articles/PMC7418704/" TargetMode="External"/><Relationship Id="rId17" Type="http://schemas.openxmlformats.org/officeDocument/2006/relationships/image" Target="media/image6.png"/><Relationship Id="rId16" Type="http://schemas.openxmlformats.org/officeDocument/2006/relationships/hyperlink" Target="https://www.ncbi.nlm.nih.gov/labs/virus/vssi/#/virus?SeqType_s=Nucleotide&amp;VirusLineage_ss=SARS-CoV-2,%20taxid:2697049" TargetMode="External"/><Relationship Id="rId19" Type="http://schemas.openxmlformats.org/officeDocument/2006/relationships/image" Target="media/image2.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W7rJ40T30ZeL853V9nhG343lnA==">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2021-05-02T20:37:00Z</dcterms:created>
  <dc:creator>apedagogica</dc:creator>
</cp:coreProperties>
</file>