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Código de colores: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avisa: Aviso de error.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color w:val="cc0000"/>
        </w:rPr>
      </w:pPr>
      <w:r w:rsidDel="00000000" w:rsidR="00000000" w:rsidRPr="00000000">
        <w:rPr>
          <w:color w:val="e69138"/>
          <w:rtl w:val="0"/>
        </w:rPr>
        <w:t xml:space="preserve">avisa: Aviso de continuar, “si o no”.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avisa: Aviso de precaución o información.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avisa: Aviso de finalización exitosa. 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Alternativas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Excepciones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276" w:lineRule="auto"/>
        <w:rPr/>
      </w:pPr>
      <w:bookmarkStart w:colFirst="0" w:colLast="0" w:name="_heading=h.8i9bsjolv9jz" w:id="0"/>
      <w:bookmarkEnd w:id="0"/>
      <w:r w:rsidDel="00000000" w:rsidR="00000000" w:rsidRPr="00000000">
        <w:rPr>
          <w:rtl w:val="0"/>
        </w:rPr>
        <w:t xml:space="preserve">Cargar metadatos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“Cargar muestras”.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una ventana con la selección del archivo.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la ruta del archivo a cargar.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verifica que el archivo esté en formato MAGE-TAB.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cc0000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fallado porque el archivo provisto no sigue el formato indicado.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los datos de las muestras en la tabla.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276" w:lineRule="auto"/>
        <w:rPr/>
      </w:pPr>
      <w:bookmarkStart w:colFirst="0" w:colLast="0" w:name="_heading=h.yd0i23yqfvqm" w:id="1"/>
      <w:bookmarkEnd w:id="1"/>
      <w:r w:rsidDel="00000000" w:rsidR="00000000" w:rsidRPr="00000000">
        <w:rPr>
          <w:rtl w:val="0"/>
        </w:rPr>
        <w:t xml:space="preserve">Agrupar muestras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y agrupa las muestras según corresponda.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line="276" w:lineRule="auto"/>
        <w:ind w:left="720" w:hanging="360"/>
        <w:rPr>
          <w:color w:val="bf9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modifica el valor de “Error estándar máximo”.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“Procesar muestras”.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f1c232"/>
          <w:rtl w:val="0"/>
        </w:rPr>
        <w:t xml:space="preserve">avisa </w:t>
      </w:r>
      <w:r w:rsidDel="00000000" w:rsidR="00000000" w:rsidRPr="00000000">
        <w:rPr>
          <w:rtl w:val="0"/>
        </w:rPr>
        <w:t xml:space="preserve">al usuario que hay muestras sin agrupar.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f1c232"/>
          <w:rtl w:val="0"/>
        </w:rPr>
        <w:t xml:space="preserve">avisa </w:t>
      </w:r>
      <w:r w:rsidDel="00000000" w:rsidR="00000000" w:rsidRPr="00000000">
        <w:rPr>
          <w:rtl w:val="0"/>
        </w:rPr>
        <w:t xml:space="preserve">al usuario que no hay cantidad suficiente de grupos.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line="276" w:lineRule="auto"/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cc0000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ciertas muestras no se encuentran en la carpeta con los metadatos.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una ventana para colocar la ruta dónde guardar el archivo.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selecciona la ruta del archivo a </w:t>
      </w:r>
      <w:r w:rsidDel="00000000" w:rsidR="00000000" w:rsidRPr="00000000">
        <w:rPr>
          <w:i w:val="1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76" w:lineRule="auto"/>
        <w:rPr/>
      </w:pPr>
      <w:bookmarkStart w:colFirst="0" w:colLast="0" w:name="_heading=h.63bzvt6yehd3" w:id="2"/>
      <w:bookmarkEnd w:id="2"/>
      <w:r w:rsidDel="00000000" w:rsidR="00000000" w:rsidRPr="00000000">
        <w:rPr>
          <w:rtl w:val="0"/>
        </w:rPr>
        <w:t xml:space="preserve">Procesar muestras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agrupa las muestras del mismo grupo y calcula el promedio y error estándar de la intensidad de cada sonda.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f1c232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hay sondas que no pudieron ser mapeadas y serán eliminadas.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f1c232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cantidad de </w:t>
      </w:r>
      <w:r w:rsidDel="00000000" w:rsidR="00000000" w:rsidRPr="00000000">
        <w:rPr>
          <w:rtl w:val="0"/>
        </w:rPr>
        <w:t xml:space="preserve">sondas presentan mayor error estándar al valor establecido y crea un nuevo archivo dónde vuelca esta información.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line="276" w:lineRule="auto"/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cc0000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las sondas no coinciden entre los archivos.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crea </w:t>
      </w:r>
      <w:r w:rsidDel="00000000" w:rsidR="00000000" w:rsidRPr="00000000">
        <w:rPr>
          <w:rtl w:val="0"/>
        </w:rPr>
        <w:t xml:space="preserve">un nuevo archivo con las sondas, que no fueron filtradas, y sus intensidades por grupo.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6aa84f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finalizado correctamente y se guardó el nuevo archivo con su nombre correspondiente.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276" w:lineRule="auto"/>
        <w:rPr/>
      </w:pPr>
      <w:bookmarkStart w:colFirst="0" w:colLast="0" w:name="_heading=h.400sdannnmt8" w:id="3"/>
      <w:bookmarkEnd w:id="3"/>
      <w:r w:rsidDel="00000000" w:rsidR="00000000" w:rsidRPr="00000000">
        <w:rPr>
          <w:rtl w:val="0"/>
        </w:rPr>
        <w:t xml:space="preserve">Controlar calidad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genera un gráfico de componentes de los datos guardados.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genera un heatmap de los datos guardados.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genera un boxplot y curva de intensidad de los datos guardados.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en una ventana los gráficos.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276" w:lineRule="auto"/>
        <w:rPr/>
      </w:pPr>
      <w:bookmarkStart w:colFirst="0" w:colLast="0" w:name="_heading=h.rqprryup0s4c" w:id="4"/>
      <w:bookmarkEnd w:id="4"/>
      <w:r w:rsidDel="00000000" w:rsidR="00000000" w:rsidRPr="00000000">
        <w:rPr>
          <w:rtl w:val="0"/>
        </w:rPr>
        <w:t xml:space="preserve">Procesar sondas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“Cargar sondas”.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la ventana con la selección del archivo.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la ruta del archivo.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verifica que el archivo esté en el formato correcto.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line="276" w:lineRule="auto"/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cc0000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fallado</w:t>
      </w:r>
      <w:r w:rsidDel="00000000" w:rsidR="00000000" w:rsidRPr="00000000">
        <w:rPr>
          <w:rtl w:val="0"/>
        </w:rPr>
        <w:t xml:space="preserve"> porque el archivo provisto no sigue el formato indicado.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el nombre del archivo en la interfaz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76" w:lineRule="auto"/>
        <w:ind w:left="720" w:hanging="360"/>
        <w:rPr>
          <w:color w:val="bf9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modifica los valores para los filtros de multimappers y/o error estándar.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presiona el botón “Procesar sondas”.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una ventana para colocar la ruta de la carpeta dónde guardar los archivos.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selecciona la ruta de la carpeta dónde guardar.</w:t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276" w:lineRule="auto"/>
        <w:rPr/>
      </w:pPr>
      <w:bookmarkStart w:colFirst="0" w:colLast="0" w:name="_heading=h.2cg4yxryxrgk" w:id="5"/>
      <w:bookmarkEnd w:id="5"/>
      <w:r w:rsidDel="00000000" w:rsidR="00000000" w:rsidRPr="00000000">
        <w:rPr>
          <w:rtl w:val="0"/>
        </w:rPr>
        <w:t xml:space="preserve">Mapear y filtrar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procesa cada sonda y la mapea con el gen correspondiente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76" w:lineRule="auto"/>
        <w:ind w:left="720" w:hanging="360"/>
        <w:rPr>
          <w:color w:val="bf9000"/>
        </w:rPr>
      </w:pPr>
      <w:r w:rsidDel="00000000" w:rsidR="00000000" w:rsidRPr="00000000">
        <w:rPr>
          <w:rtl w:val="0"/>
        </w:rPr>
        <w:t xml:space="preserve">Se filtran las sondas que no sean específicas al organismo indicado, se </w:t>
      </w:r>
      <w:r w:rsidDel="00000000" w:rsidR="00000000" w:rsidRPr="00000000">
        <w:rPr>
          <w:color w:val="f1c232"/>
          <w:rtl w:val="0"/>
        </w:rPr>
        <w:t xml:space="preserve">avisa</w:t>
      </w:r>
      <w:r w:rsidDel="00000000" w:rsidR="00000000" w:rsidRPr="00000000">
        <w:rPr>
          <w:rtl w:val="0"/>
        </w:rPr>
        <w:t xml:space="preserve"> al sistema la cantidad y se crea un archivo dónde se vuelva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line="276" w:lineRule="auto"/>
        <w:rPr/>
      </w:pPr>
      <w:bookmarkStart w:colFirst="0" w:colLast="0" w:name="_heading=h.1f8p84p2zfsi" w:id="6"/>
      <w:bookmarkEnd w:id="6"/>
      <w:r w:rsidDel="00000000" w:rsidR="00000000" w:rsidRPr="00000000">
        <w:rPr>
          <w:rtl w:val="0"/>
        </w:rPr>
        <w:t xml:space="preserve">Promediar y filtrar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calcula el promedio y error estándar de las sondas que estén mapeadas al mismo 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76" w:lineRule="auto"/>
        <w:ind w:left="720" w:hanging="360"/>
        <w:rPr>
          <w:color w:val="bf9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f1c232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cantidad de genes presentan mayor error estándar que el valor establecido y crea un nuevo archivo dónde vuelca esta información.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6aa84f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finalizado correctamente y se guardó el nuevo archivo con su nombre correspondiente, que contiene los genes que pasaron el filtro.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276" w:lineRule="auto"/>
        <w:rPr/>
      </w:pPr>
      <w:bookmarkStart w:colFirst="0" w:colLast="0" w:name="_heading=h.sfnwvo5x8lh" w:id="7"/>
      <w:bookmarkEnd w:id="7"/>
      <w:r w:rsidDel="00000000" w:rsidR="00000000" w:rsidRPr="00000000">
        <w:rPr>
          <w:rtl w:val="0"/>
        </w:rPr>
        <w:t xml:space="preserve">Procesar genes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“Cargar genes”.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la ventana con la selección del archivo.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la ruta del archivo.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verifica que el archivo esté en el formato correcto.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line="276" w:lineRule="auto"/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cc0000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fallado porque el archivo provisto no sigue el formato indicado.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el nombre del archivo en la interfaz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selecciona cuál de los grupos de genes será usado como grupo de control en el modelo.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276" w:lineRule="auto"/>
        <w:ind w:left="720" w:hanging="360"/>
        <w:rPr>
          <w:color w:val="bf9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modifica los valores para los filtros.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presiona el botón “Procesar genes”.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una ventana para colocar la ruta de la carpeta dónde guardar los archivos.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selecciona la ruta de la carpeta dónde guardar.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line="276" w:lineRule="auto"/>
        <w:rPr/>
      </w:pPr>
      <w:bookmarkStart w:colFirst="0" w:colLast="0" w:name="_heading=h.sisvn5vask05" w:id="8"/>
      <w:bookmarkEnd w:id="8"/>
      <w:r w:rsidDel="00000000" w:rsidR="00000000" w:rsidRPr="00000000">
        <w:rPr>
          <w:rtl w:val="0"/>
        </w:rPr>
        <w:t xml:space="preserve">Procesar grupos de genes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crea el modelo con el grupo de control y calcula el log2foldchange y p-value.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f1c232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cantidad de genes presentan mayor p-value que el valor establecido y crea un nuevo archivo dónde vuelca esta información.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un gráfico q-q y un histograma con la distribución de los p-value a modo de verificar visualmente los resultados.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line="276" w:lineRule="auto"/>
        <w:rPr/>
      </w:pPr>
      <w:bookmarkStart w:colFirst="0" w:colLast="0" w:name="_heading=h.c5u1pcwext20" w:id="9"/>
      <w:bookmarkEnd w:id="9"/>
      <w:r w:rsidDel="00000000" w:rsidR="00000000" w:rsidRPr="00000000">
        <w:rPr>
          <w:rtl w:val="0"/>
        </w:rPr>
        <w:t xml:space="preserve">Enriquecer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enriquece los genes.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guarda los genes enriquecidos.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line="276" w:lineRule="auto"/>
        <w:rPr/>
      </w:pPr>
      <w:bookmarkStart w:colFirst="0" w:colLast="0" w:name="_heading=h.wy0bnv380lpp" w:id="10"/>
      <w:bookmarkEnd w:id="10"/>
      <w:r w:rsidDel="00000000" w:rsidR="00000000" w:rsidRPr="00000000">
        <w:rPr>
          <w:rtl w:val="0"/>
        </w:rPr>
        <w:t xml:space="preserve">Cargar resultados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“Cargar resultados”.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una ventana con la selección de archivos.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los archivos a cargar.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verifica que los archivos esté un formato correcto.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line="276" w:lineRule="auto"/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cc0000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fallado porque el archivo provisto no sigue el formato indicado.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los datos de las muestras en la tabla.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line="276" w:lineRule="auto"/>
        <w:rPr/>
      </w:pPr>
      <w:bookmarkStart w:colFirst="0" w:colLast="0" w:name="_heading=h.a3qql6dfb7k8" w:id="11"/>
      <w:bookmarkEnd w:id="11"/>
      <w:r w:rsidDel="00000000" w:rsidR="00000000" w:rsidRPr="00000000">
        <w:rPr>
          <w:rtl w:val="0"/>
        </w:rPr>
        <w:t xml:space="preserve">Análisis y metanálisis de resultados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“Graficar”.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una venta que muestra los gráficos posibles.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elige el gráfico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line="276" w:lineRule="auto"/>
        <w:ind w:left="720" w:hanging="360"/>
        <w:rPr>
          <w:color w:val="bf9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una venta solicitando parámetros adicionales y 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elige las opciones.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una ventana con el resultado.</w:t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line="276" w:lineRule="auto"/>
        <w:rPr/>
      </w:pPr>
      <w:bookmarkStart w:colFirst="0" w:colLast="0" w:name="_heading=h.rf4ayanux80d" w:id="12"/>
      <w:bookmarkEnd w:id="12"/>
      <w:r w:rsidDel="00000000" w:rsidR="00000000" w:rsidRPr="00000000">
        <w:rPr>
          <w:rtl w:val="0"/>
        </w:rPr>
        <w:t xml:space="preserve">Avisar (loguear)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el aviso según el tipo y el texto provisto.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line="276" w:lineRule="auto"/>
        <w:ind w:left="720" w:hanging="360"/>
        <w:rPr>
          <w:color w:val="bf9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procesa y devuelve la respuesta del usuario al aviso.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tabs>
        <w:tab w:val="center" w:leader="none" w:pos="4419"/>
        <w:tab w:val="right" w:leader="none" w:pos="8838"/>
      </w:tabs>
      <w:spacing w:line="240" w:lineRule="auto"/>
      <w:jc w:val="righ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tabs>
        <w:tab w:val="center" w:leader="none" w:pos="4419"/>
        <w:tab w:val="right" w:leader="none" w:pos="8838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20"/>
        <w:szCs w:val="20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bf9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bf9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bf9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bf9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454F44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Textodeglobo"/>
    <w:uiPriority w:val="99"/>
    <w:semiHidden w:val="1"/>
    <w:qFormat w:val="1"/>
    <w:rsid w:val="008E55BB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8E55BB"/>
    <w:rPr/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8E55BB"/>
    <w:rPr/>
  </w:style>
  <w:style w:type="character" w:styleId="EnlacedeInternet">
    <w:name w:val="Enlace de Internet"/>
    <w:basedOn w:val="DefaultParagraphFont"/>
    <w:uiPriority w:val="99"/>
    <w:unhideWhenUsed w:val="1"/>
    <w:rsid w:val="003344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676414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 w:val="1"/>
    <w:unhideWhenUsed w:val="1"/>
    <w:rsid w:val="005A4AA1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tulogeneral">
    <w:name w:val="Title"/>
    <w:basedOn w:val="Normal1"/>
    <w:next w:val="Normal1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BalloonText">
    <w:name w:val="Balloon Text"/>
    <w:basedOn w:val="Normal1"/>
    <w:link w:val="TextodegloboCar"/>
    <w:uiPriority w:val="99"/>
    <w:semiHidden w:val="1"/>
    <w:unhideWhenUsed w:val="1"/>
    <w:qFormat w:val="1"/>
    <w:rsid w:val="008E55BB"/>
    <w:pPr>
      <w:spacing w:line="240" w:lineRule="auto"/>
    </w:pPr>
    <w:rPr>
      <w:rFonts w:ascii="Tahoma" w:cs="Tahoma" w:hAnsi="Tahoma"/>
      <w:sz w:val="16"/>
      <w:szCs w:val="16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1"/>
    <w:link w:val="EncabezadoCar"/>
    <w:uiPriority w:val="99"/>
    <w:unhideWhenUsed w:val="1"/>
    <w:rsid w:val="008E55BB"/>
    <w:pPr>
      <w:tabs>
        <w:tab w:val="clear" w:pos="720"/>
        <w:tab w:val="center" w:leader="none" w:pos="4419"/>
        <w:tab w:val="right" w:leader="none" w:pos="8838"/>
      </w:tabs>
      <w:spacing w:line="240" w:lineRule="auto"/>
    </w:pPr>
    <w:rPr/>
  </w:style>
  <w:style w:type="paragraph" w:styleId="Piedepgina">
    <w:name w:val="Footer"/>
    <w:basedOn w:val="Normal1"/>
    <w:link w:val="PiedepginaCar"/>
    <w:uiPriority w:val="99"/>
    <w:unhideWhenUsed w:val="1"/>
    <w:rsid w:val="008E55BB"/>
    <w:pPr>
      <w:tabs>
        <w:tab w:val="clear" w:pos="720"/>
        <w:tab w:val="center" w:leader="none" w:pos="4419"/>
        <w:tab w:val="right" w:leader="none" w:pos="8838"/>
      </w:tabs>
      <w:spacing w:line="240" w:lineRule="auto"/>
    </w:pPr>
    <w:rPr/>
  </w:style>
  <w:style w:type="paragraph" w:styleId="TOCHeading">
    <w:name w:val="TOC Heading"/>
    <w:basedOn w:val="Ttulo1"/>
    <w:next w:val="Normal1"/>
    <w:uiPriority w:val="39"/>
    <w:unhideWhenUsed w:val="1"/>
    <w:qFormat w:val="1"/>
    <w:rsid w:val="00203D33"/>
    <w:pPr>
      <w:spacing w:after="0" w:before="240" w:line="259" w:lineRule="auto"/>
      <w:outlineLvl w:val="9"/>
    </w:pPr>
    <w:rPr>
      <w:rFonts w:ascii="Calibri" w:cs="" w:eastAsia="" w:hAnsi="Calibri" w:asciiTheme="majorHAnsi" w:cstheme="majorBidi" w:eastAsiaTheme="majorEastAsia" w:hAnsiTheme="majorHAnsi"/>
      <w:color w:val="365f91" w:themeColor="accent1" w:themeShade="0000BF"/>
      <w:sz w:val="32"/>
      <w:szCs w:val="32"/>
      <w:lang w:eastAsia="es-ES" w:val="es-ES"/>
    </w:rPr>
  </w:style>
  <w:style w:type="paragraph" w:styleId="Sumario1">
    <w:name w:val="TOC 1"/>
    <w:basedOn w:val="Normal1"/>
    <w:next w:val="Normal1"/>
    <w:autoRedefine w:val="1"/>
    <w:uiPriority w:val="39"/>
    <w:unhideWhenUsed w:val="1"/>
    <w:rsid w:val="00203D33"/>
    <w:pPr>
      <w:spacing w:after="100" w:before="0"/>
    </w:pPr>
    <w:rPr/>
  </w:style>
  <w:style w:type="paragraph" w:styleId="Sumario2">
    <w:name w:val="TOC 2"/>
    <w:basedOn w:val="Normal1"/>
    <w:next w:val="Normal1"/>
    <w:autoRedefine w:val="1"/>
    <w:uiPriority w:val="39"/>
    <w:unhideWhenUsed w:val="1"/>
    <w:rsid w:val="00050468"/>
    <w:pPr>
      <w:spacing w:after="100" w:before="0" w:line="259" w:lineRule="auto"/>
      <w:ind w:left="216" w:hanging="0"/>
    </w:pPr>
    <w:rPr>
      <w:rFonts w:ascii="Cambria" w:cs="Times New Roman" w:eastAsia="" w:hAnsi="Cambria" w:asciiTheme="minorHAnsi" w:eastAsiaTheme="minorEastAsia" w:hAnsiTheme="minorHAnsi"/>
      <w:lang w:eastAsia="es-ES" w:val="es-ES"/>
    </w:rPr>
  </w:style>
  <w:style w:type="paragraph" w:styleId="Sumario3">
    <w:name w:val="TOC 3"/>
    <w:basedOn w:val="Normal1"/>
    <w:next w:val="Normal1"/>
    <w:autoRedefine w:val="1"/>
    <w:uiPriority w:val="39"/>
    <w:unhideWhenUsed w:val="1"/>
    <w:rsid w:val="00203D33"/>
    <w:pPr>
      <w:spacing w:after="100" w:before="0" w:line="259" w:lineRule="auto"/>
      <w:ind w:left="440" w:hanging="0"/>
    </w:pPr>
    <w:rPr>
      <w:rFonts w:ascii="Cambria" w:cs="Times New Roman" w:eastAsia="" w:hAnsi="Cambria" w:asciiTheme="minorHAnsi" w:eastAsiaTheme="minorEastAsia" w:hAnsiTheme="minorHAnsi"/>
      <w:lang w:eastAsia="es-ES" w:val="es-E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aixuL1fYvy2rcrKizzYBnsxtQ==">CgMxLjAyDmguOGk5YnNqb2x2OWp6Mg5oLnlkMGkyM3lxZnZxbTIOaC42M2J6dnQ2eWVoZDMyDmguNDAwc2Rhbm5ubXQ4Mg5oLnJxcHJyeXVwMHM0YzIOaC4yY2c0eXhyeXhyZ2syDmguMWY4cDg0cDJ6ZnNpMg1oLnNmbnd2bzV4OGxoMg5oLnNpc3ZuNXZhc2swNTIOaC5jNXUxcGN3ZXh0MjAyDmgud3kwYm52MzgwbHBwMg5oLmEzcXFsNmRmYjdrODIOaC5yZjRheWFudXg4MGQ4AHIhMWtiXzZPSW9ZczdPYXF3RVZzMmowQVJuWEt2SmxQN1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2021-05-02T20:37:00Z</dcterms:created>
  <dc:creator>apedagogica</dc:creator>
</cp:coreProperties>
</file>