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suppressAutoHyphens w:val="1"/>
        <w:spacing w:before="0" w:after="100" w:line="264" w:lineRule="auto"/>
        <w:rPr>
          <w:rFonts w:ascii="Calibri" w:cs="Calibri" w:hAnsi="Calibri" w:eastAsia="Calibri"/>
          <w:b w:val="1"/>
          <w:bCs w:val="1"/>
          <w:outline w:val="0"/>
          <w:color w:val="00ab8e"/>
          <w:sz w:val="34"/>
          <w:szCs w:val="34"/>
          <w14:textFill>
            <w14:solidFill>
              <w14:srgbClr w14:val="00AB8E"/>
            </w14:solidFill>
          </w14:textFill>
        </w:rPr>
      </w:pPr>
      <w:r>
        <w:rPr>
          <w:rFonts w:ascii="Calibri" w:hAnsi="Calibri" w:hint="default"/>
          <w:b w:val="0"/>
          <w:bCs w:val="0"/>
          <w:outline w:val="0"/>
          <w:color w:val="919191"/>
          <w:sz w:val="26"/>
          <w:szCs w:val="26"/>
          <w:rtl w:val="0"/>
          <w:lang w:val="en-US"/>
          <w14:textFill>
            <w14:solidFill>
              <w14:srgbClr w14:val="929292"/>
            </w14:solidFill>
          </w14:textFill>
        </w:rPr>
        <w:t xml:space="preserve">—  </w:t>
      </w:r>
      <w:r>
        <w:rPr>
          <w:rFonts w:ascii="Calibri" w:hAnsi="Calibri"/>
          <w:b w:val="0"/>
          <w:bCs w:val="0"/>
          <w:outline w:val="0"/>
          <w:color w:val="919191"/>
          <w:sz w:val="26"/>
          <w:szCs w:val="26"/>
          <w:rtl w:val="0"/>
          <w:lang w:val="en-US"/>
          <w14:textFill>
            <w14:solidFill>
              <w14:srgbClr w14:val="929292"/>
            </w14:solidFill>
          </w14:textFill>
        </w:rPr>
        <w:t>the short version</w:t>
      </w:r>
      <w:r>
        <w:rPr>
          <w:rFonts w:ascii="Calibri" w:cs="Calibri" w:hAnsi="Calibri" w:eastAsia="Calibri"/>
          <w:b w:val="0"/>
          <w:bCs w:val="0"/>
          <w:outline w:val="0"/>
          <w:color w:val="919191"/>
          <w:sz w:val="26"/>
          <w:szCs w:val="26"/>
          <w14:textFill>
            <w14:solidFill>
              <w14:srgbClr w14:val="929292"/>
            </w14:solidFill>
          </w14:textFill>
        </w:rPr>
        <w:br w:type="textWrapping"/>
      </w:r>
      <w:r>
        <w:rPr>
          <w:rFonts w:ascii="Calibri" w:cs="Calibri" w:hAnsi="Calibri" w:eastAsia="Calibri"/>
          <w:b w:val="1"/>
          <w:bCs w:val="1"/>
          <w:outline w:val="0"/>
          <w:color w:val="00ab8e"/>
          <w:sz w:val="34"/>
          <w:szCs w:val="34"/>
          <w14:textFill>
            <w14:solidFill>
              <w14:srgbClr w14:val="00AB8E"/>
            </w14:solidFill>
          </w14:textFill>
        </w:rPr>
        <w:br w:type="textWrapping"/>
      </w:r>
      <w:r>
        <w:rPr>
          <w:rFonts w:ascii="Calibri" w:hAnsi="Calibri"/>
          <w:b w:val="1"/>
          <w:bCs w:val="1"/>
          <w:outline w:val="0"/>
          <w:color w:val="00ab8e"/>
          <w:sz w:val="34"/>
          <w:szCs w:val="34"/>
          <w:rtl w:val="0"/>
          <w:lang w:val="pt-PT"/>
          <w14:textFill>
            <w14:solidFill>
              <w14:srgbClr w14:val="00AB8E"/>
            </w14:solidFill>
          </w14:textFill>
        </w:rPr>
        <w:t>1. Context</w:t>
      </w:r>
    </w:p>
    <w:p>
      <w:pPr>
        <w:pStyle w:val="Default"/>
        <w:suppressAutoHyphens w:val="1"/>
        <w:spacing w:before="0" w:after="100" w:line="264" w:lineRule="auto"/>
        <w:rPr>
          <w:rFonts w:ascii="Calibri" w:cs="Calibri" w:hAnsi="Calibri" w:eastAsia="Calibri"/>
          <w:b w:val="1"/>
          <w:bCs w:val="1"/>
          <w:outline w:val="0"/>
          <w:color w:val="00ab8e"/>
          <w14:textFill>
            <w14:solidFill>
              <w14:srgbClr w14:val="00AB8E"/>
            </w14:solidFill>
          </w14:textFill>
        </w:rPr>
      </w:pPr>
      <w:r>
        <w:rPr>
          <w:rFonts w:ascii="Calibri" w:hAnsi="Calibri"/>
          <w:b w:val="1"/>
          <w:bCs w:val="1"/>
          <w:outline w:val="0"/>
          <w:color w:val="00ab8e"/>
          <w:rtl w:val="0"/>
          <w:lang w:val="en-US"/>
          <w14:textFill>
            <w14:solidFill>
              <w14:srgbClr w14:val="00AB8E"/>
            </w14:solidFill>
          </w14:textFill>
        </w:rPr>
        <w:t>Environmental Injustice, Legal Evidence, and Technical Evidence</w:t>
      </w:r>
    </w:p>
    <w:p>
      <w:pPr>
        <w:pStyle w:val="Default"/>
        <w:suppressAutoHyphens w:val="1"/>
        <w:spacing w:before="0" w:after="100" w:line="264" w:lineRule="auto"/>
        <w:rPr>
          <w:rFonts w:ascii="Calibri" w:cs="Calibri" w:hAnsi="Calibri" w:eastAsia="Calibri"/>
          <w:b w:val="1"/>
          <w:bCs w:val="1"/>
          <w:sz w:val="22"/>
          <w:szCs w:val="22"/>
        </w:rPr>
      </w:pPr>
    </w:p>
    <w:p>
      <w:pPr>
        <w:pStyle w:val="Default"/>
        <w:suppressAutoHyphens w:val="1"/>
        <w:spacing w:before="0" w:after="100" w:line="264" w:lineRule="auto"/>
        <w:rPr>
          <w:rFonts w:ascii="Calibri" w:cs="Calibri" w:hAnsi="Calibri" w:eastAsia="Calibri"/>
          <w:sz w:val="22"/>
          <w:szCs w:val="22"/>
        </w:rPr>
      </w:pPr>
      <w:r>
        <w:rPr>
          <w:rFonts w:ascii="Calibri" w:hAnsi="Calibri"/>
          <w:sz w:val="22"/>
          <w:szCs w:val="22"/>
          <w:rtl w:val="0"/>
          <w:lang w:val="en-US"/>
        </w:rPr>
        <w:t xml:space="preserve">The </w:t>
      </w:r>
      <w:r>
        <w:rPr>
          <w:rFonts w:ascii="Calibri" w:hAnsi="Calibri" w:hint="default"/>
          <w:sz w:val="22"/>
          <w:szCs w:val="22"/>
          <w:rtl w:val="1"/>
          <w:lang w:val="ar-SA" w:bidi="ar-SA"/>
        </w:rPr>
        <w:t>“</w:t>
      </w:r>
      <w:r>
        <w:rPr>
          <w:rFonts w:ascii="Calibri" w:hAnsi="Calibri"/>
          <w:sz w:val="22"/>
          <w:szCs w:val="22"/>
          <w:rtl w:val="0"/>
          <w:lang w:val="en-US"/>
        </w:rPr>
        <w:t>Drivers of Change</w:t>
      </w:r>
      <w:r>
        <w:rPr>
          <w:rFonts w:ascii="Calibri" w:hAnsi="Calibri" w:hint="default"/>
          <w:sz w:val="22"/>
          <w:szCs w:val="22"/>
          <w:rtl w:val="0"/>
        </w:rPr>
        <w:t xml:space="preserve">” </w:t>
      </w:r>
      <w:r>
        <w:rPr>
          <w:rFonts w:ascii="Calibri" w:hAnsi="Calibri"/>
          <w:sz w:val="22"/>
          <w:szCs w:val="22"/>
          <w:rtl w:val="0"/>
          <w:lang w:val="en-US"/>
        </w:rPr>
        <w:t>project begins from a daily reality in East Jerusalem: environmental problems are not only technical failures. A missed waste-collection route, an overflowing sewage line, a street without proper infrastructure, or a neighborhood without green space all point to a deeper structure of unequal planning, unequal budgets, and unequal access to environmental rights.</w:t>
      </w:r>
    </w:p>
    <w:p>
      <w:pPr>
        <w:pStyle w:val="Default"/>
        <w:suppressAutoHyphens w:val="1"/>
        <w:spacing w:before="0" w:after="100" w:line="264" w:lineRule="auto"/>
        <w:rPr>
          <w:rFonts w:ascii="Calibri" w:cs="Calibri" w:hAnsi="Calibri" w:eastAsia="Calibri"/>
          <w:sz w:val="22"/>
          <w:szCs w:val="22"/>
        </w:rPr>
      </w:pPr>
      <w:r>
        <w:rPr>
          <w:rFonts w:ascii="Calibri" w:hAnsi="Calibri"/>
          <w:sz w:val="22"/>
          <w:szCs w:val="22"/>
          <w:rtl w:val="0"/>
          <w:lang w:val="en-US"/>
        </w:rPr>
        <w:t>Implemented by PENGON / Friends of the Earth Palestine, in partnership with Overseas and co-funded by the European Union, the project worked from 2022 to 2025 with five communities: Al-Ram, Shu</w:t>
      </w:r>
      <w:r>
        <w:rPr>
          <w:rFonts w:ascii="Calibri" w:hAnsi="Calibri" w:hint="default"/>
          <w:sz w:val="22"/>
          <w:szCs w:val="22"/>
          <w:rtl w:val="1"/>
        </w:rPr>
        <w:t>’</w:t>
      </w:r>
      <w:r>
        <w:rPr>
          <w:rFonts w:ascii="Calibri" w:hAnsi="Calibri"/>
          <w:sz w:val="22"/>
          <w:szCs w:val="22"/>
          <w:rtl w:val="0"/>
          <w:lang w:val="en-US"/>
        </w:rPr>
        <w:t>fat Refugee Camp, Al-Isarieh, Silwan, and the Old City of Jerusalem.</w:t>
      </w:r>
    </w:p>
    <w:p>
      <w:pPr>
        <w:pStyle w:val="Default"/>
        <w:suppressAutoHyphens w:val="1"/>
        <w:bidi w:val="1"/>
        <w:spacing w:before="0" w:after="100" w:line="264" w:lineRule="auto"/>
        <w:ind w:left="0" w:right="0" w:firstLine="0"/>
        <w:jc w:val="left"/>
        <w:rPr>
          <w:rFonts w:ascii="Calibri" w:cs="Calibri" w:hAnsi="Calibri" w:eastAsia="Calibri"/>
          <w:sz w:val="22"/>
          <w:szCs w:val="22"/>
          <w:rtl w:val="1"/>
        </w:rPr>
      </w:pPr>
    </w:p>
    <w:p>
      <w:pPr>
        <w:pStyle w:val="Default"/>
        <w:suppressAutoHyphens w:val="1"/>
        <w:spacing w:before="120" w:line="264" w:lineRule="auto"/>
        <w:rPr>
          <w:rFonts w:ascii="Calibri" w:cs="Calibri" w:hAnsi="Calibri" w:eastAsia="Calibri"/>
          <w:b w:val="1"/>
          <w:bCs w:val="1"/>
          <w:sz w:val="22"/>
          <w:szCs w:val="22"/>
        </w:rPr>
      </w:pPr>
      <w:r>
        <w:rPr>
          <w:rFonts w:ascii="Calibri" w:hAnsi="Calibri"/>
          <w:b w:val="1"/>
          <w:bCs w:val="1"/>
          <w:sz w:val="22"/>
          <w:szCs w:val="22"/>
          <w:rtl w:val="0"/>
          <w:lang w:val="en-US"/>
        </w:rPr>
        <w:t>1.1 Environmental Injustice</w:t>
      </w:r>
    </w:p>
    <w:p>
      <w:pPr>
        <w:pStyle w:val="Default"/>
        <w:suppressAutoHyphens w:val="1"/>
        <w:spacing w:before="0" w:after="100" w:line="264" w:lineRule="auto"/>
        <w:rPr>
          <w:rFonts w:ascii="Calibri" w:cs="Calibri" w:hAnsi="Calibri" w:eastAsia="Calibri"/>
          <w:sz w:val="22"/>
          <w:szCs w:val="22"/>
        </w:rPr>
      </w:pPr>
      <w:r>
        <w:rPr>
          <w:rFonts w:ascii="Calibri" w:hAnsi="Calibri"/>
          <w:sz w:val="22"/>
          <w:szCs w:val="22"/>
          <w:rtl w:val="0"/>
          <w:lang w:val="en-US"/>
        </w:rPr>
        <w:t>The technical study describes East Jerusalem as a space marked by unequal living conditions and unequal service delivery. It records around 580,000 inhabitants, 61% of whom are Palestinian, while Palestinian neighborhoods continue to receive weaker infrastructure and poorer services.</w:t>
      </w:r>
    </w:p>
    <w:p>
      <w:pPr>
        <w:pStyle w:val="Default"/>
        <w:suppressAutoHyphens w:val="1"/>
        <w:spacing w:before="0" w:after="100" w:line="264" w:lineRule="auto"/>
        <w:rPr>
          <w:rFonts w:ascii="Calibri" w:cs="Calibri" w:hAnsi="Calibri" w:eastAsia="Calibri"/>
          <w:sz w:val="22"/>
          <w:szCs w:val="22"/>
        </w:rPr>
      </w:pPr>
      <w:r>
        <w:rPr>
          <w:rFonts w:ascii="Calibri" w:hAnsi="Calibri"/>
          <w:sz w:val="22"/>
          <w:szCs w:val="22"/>
          <w:rtl w:val="0"/>
          <w:lang w:val="en-US"/>
        </w:rPr>
        <w:t>Waste management makes this inequality visible in everyday life. Palestinian areas face irregular collection, insufficient containers, weak street cleaning, bad smells, insects, rats, and waste burning. In 2016, East Jerusalem received only 10% of hygiene workers, 7% of garbage containers, 6% of waste collection routes, and 4% of total container capacity.</w:t>
      </w:r>
    </w:p>
    <w:p>
      <w:pPr>
        <w:pStyle w:val="Default"/>
        <w:suppressAutoHyphens w:val="1"/>
        <w:spacing w:before="0" w:after="100" w:line="264" w:lineRule="auto"/>
        <w:rPr>
          <w:rFonts w:ascii="Calibri" w:cs="Calibri" w:hAnsi="Calibri" w:eastAsia="Calibri"/>
          <w:sz w:val="22"/>
          <w:szCs w:val="22"/>
        </w:rPr>
      </w:pPr>
      <w:r>
        <w:rPr>
          <w:rFonts w:ascii="Calibri" w:hAnsi="Calibri"/>
          <w:sz w:val="22"/>
          <w:szCs w:val="22"/>
          <w:rtl w:val="0"/>
          <w:lang w:val="en-US"/>
        </w:rPr>
        <w:t>Sewage and infrastructure gaps add another layer. The studies identify outdated systems in the Old City, Silwan, Ras Al-Amoud, Al-Thouri, Al-Tur, Sur Baher, and Al-Isawiya, with sewage overflow, winter flooding, damaged pipes, smells, and public-health risks. The legal study reports a shortage of about 23,950 meters of sewage lines, while only 44% of residents had proper legal water-grid connections at least until 2018.</w:t>
      </w:r>
    </w:p>
    <w:p>
      <w:pPr>
        <w:pStyle w:val="Default"/>
        <w:suppressAutoHyphens w:val="1"/>
        <w:spacing w:before="0" w:after="100" w:line="264" w:lineRule="auto"/>
        <w:rPr>
          <w:rFonts w:ascii="Calibri" w:cs="Calibri" w:hAnsi="Calibri" w:eastAsia="Calibri"/>
          <w:sz w:val="22"/>
          <w:szCs w:val="22"/>
        </w:rPr>
      </w:pPr>
    </w:p>
    <w:p>
      <w:pPr>
        <w:pStyle w:val="Default"/>
        <w:suppressAutoHyphens w:val="1"/>
        <w:spacing w:before="120" w:line="264" w:lineRule="auto"/>
        <w:rPr>
          <w:rFonts w:ascii="Calibri" w:cs="Calibri" w:hAnsi="Calibri" w:eastAsia="Calibri"/>
          <w:b w:val="1"/>
          <w:bCs w:val="1"/>
          <w:sz w:val="22"/>
          <w:szCs w:val="22"/>
        </w:rPr>
      </w:pPr>
      <w:r>
        <w:rPr>
          <w:rFonts w:ascii="Calibri" w:hAnsi="Calibri"/>
          <w:b w:val="1"/>
          <w:bCs w:val="1"/>
          <w:sz w:val="22"/>
          <w:szCs w:val="22"/>
          <w:rtl w:val="0"/>
          <w:lang w:val="pt-PT"/>
        </w:rPr>
        <w:t>1.2 Legal Evidence</w:t>
      </w:r>
    </w:p>
    <w:p>
      <w:pPr>
        <w:pStyle w:val="Default"/>
        <w:suppressAutoHyphens w:val="1"/>
        <w:spacing w:before="0" w:after="100" w:line="264" w:lineRule="auto"/>
        <w:rPr>
          <w:rFonts w:ascii="Calibri" w:cs="Calibri" w:hAnsi="Calibri" w:eastAsia="Calibri"/>
          <w:sz w:val="22"/>
          <w:szCs w:val="22"/>
        </w:rPr>
      </w:pPr>
      <w:r>
        <w:rPr>
          <w:rFonts w:ascii="Calibri" w:hAnsi="Calibri"/>
          <w:sz w:val="22"/>
          <w:szCs w:val="22"/>
          <w:rtl w:val="0"/>
          <w:lang w:val="en-US"/>
        </w:rPr>
        <w:t>The legal study frames these conditions as rights-based discrimination, not only technical neglect. It identifies two main drivers: zoning and planning restrictions, and discriminatory budget allocation.</w:t>
      </w:r>
    </w:p>
    <w:p>
      <w:pPr>
        <w:pStyle w:val="Default"/>
        <w:suppressAutoHyphens w:val="1"/>
        <w:spacing w:before="0" w:after="100" w:line="264" w:lineRule="auto"/>
        <w:rPr>
          <w:rFonts w:ascii="Calibri" w:cs="Calibri" w:hAnsi="Calibri" w:eastAsia="Calibri"/>
          <w:sz w:val="22"/>
          <w:szCs w:val="22"/>
        </w:rPr>
      </w:pPr>
      <w:r>
        <w:rPr>
          <w:rFonts w:ascii="Calibri" w:hAnsi="Calibri"/>
          <w:sz w:val="22"/>
          <w:szCs w:val="22"/>
          <w:rtl w:val="0"/>
          <w:lang w:val="en-US"/>
        </w:rPr>
        <w:t>Only 13% of annexed East Jerusalem land was left for Palestinian building, much of it already built up. The technical study adds that only 15% of East Jerusalem is allocated for Palestinian residential use, contributing to overcrowding, with Palestinian housing density averaging 1.8 people per room, almost twice that of Jewish neighborhoods in western Jerusalem.</w:t>
      </w:r>
    </w:p>
    <w:p>
      <w:pPr>
        <w:pStyle w:val="Default"/>
        <w:suppressAutoHyphens w:val="1"/>
        <w:spacing w:before="0" w:after="100" w:line="264" w:lineRule="auto"/>
        <w:rPr>
          <w:rFonts w:ascii="Calibri" w:cs="Calibri" w:hAnsi="Calibri" w:eastAsia="Calibri"/>
          <w:sz w:val="22"/>
          <w:szCs w:val="22"/>
        </w:rPr>
      </w:pPr>
      <w:r>
        <w:rPr>
          <w:rFonts w:ascii="Calibri" w:hAnsi="Calibri"/>
          <w:sz w:val="22"/>
          <w:szCs w:val="22"/>
          <w:rtl w:val="0"/>
          <w:lang w:val="en-US"/>
        </w:rPr>
        <w:t>Budget figures reinforce the same pattern. In 2013, only 10.1% of the Jerusalem Municipality budget benefited Palestinians in East Jerusalem, although they formed 36.9% of the city</w:t>
      </w:r>
      <w:r>
        <w:rPr>
          <w:rFonts w:ascii="Calibri" w:hAnsi="Calibri" w:hint="default"/>
          <w:sz w:val="22"/>
          <w:szCs w:val="22"/>
          <w:rtl w:val="1"/>
        </w:rPr>
        <w:t>’</w:t>
      </w:r>
      <w:r>
        <w:rPr>
          <w:rFonts w:ascii="Calibri" w:hAnsi="Calibri"/>
          <w:sz w:val="22"/>
          <w:szCs w:val="22"/>
          <w:rtl w:val="0"/>
          <w:lang w:val="fr-FR"/>
        </w:rPr>
        <w:t>s population.</w:t>
      </w:r>
    </w:p>
    <w:p>
      <w:pPr>
        <w:pStyle w:val="Default"/>
        <w:suppressAutoHyphens w:val="1"/>
        <w:spacing w:before="0" w:after="100" w:line="264" w:lineRule="auto"/>
        <w:rPr>
          <w:rFonts w:ascii="Calibri" w:cs="Calibri" w:hAnsi="Calibri" w:eastAsia="Calibri"/>
          <w:sz w:val="22"/>
          <w:szCs w:val="22"/>
        </w:rPr>
      </w:pPr>
    </w:p>
    <w:p>
      <w:pPr>
        <w:pStyle w:val="Default"/>
        <w:suppressAutoHyphens w:val="1"/>
        <w:spacing w:before="120" w:line="264" w:lineRule="auto"/>
        <w:rPr>
          <w:rFonts w:ascii="Calibri" w:cs="Calibri" w:hAnsi="Calibri" w:eastAsia="Calibri"/>
          <w:b w:val="1"/>
          <w:bCs w:val="1"/>
          <w:sz w:val="22"/>
          <w:szCs w:val="22"/>
        </w:rPr>
      </w:pPr>
      <w:r>
        <w:rPr>
          <w:rFonts w:ascii="Calibri" w:hAnsi="Calibri"/>
          <w:b w:val="1"/>
          <w:bCs w:val="1"/>
          <w:sz w:val="22"/>
          <w:szCs w:val="22"/>
          <w:rtl w:val="0"/>
          <w:lang w:val="en-US"/>
        </w:rPr>
        <w:t>1.3 Technical Evidence</w:t>
      </w:r>
    </w:p>
    <w:p>
      <w:pPr>
        <w:pStyle w:val="Default"/>
        <w:suppressAutoHyphens w:val="1"/>
        <w:spacing w:before="0" w:after="100" w:line="264" w:lineRule="auto"/>
        <w:rPr>
          <w:rFonts w:ascii="Calibri" w:cs="Calibri" w:hAnsi="Calibri" w:eastAsia="Calibri"/>
          <w:sz w:val="22"/>
          <w:szCs w:val="22"/>
        </w:rPr>
      </w:pPr>
      <w:r>
        <w:rPr>
          <w:rFonts w:ascii="Calibri" w:hAnsi="Calibri"/>
          <w:sz w:val="22"/>
          <w:szCs w:val="22"/>
          <w:rtl w:val="0"/>
          <w:lang w:val="en-US"/>
        </w:rPr>
        <w:t>The technical study gave the project its field base through literature review, field visits, observation, surveys, resident testimonies, and case studies. It examined waste, sewage, pollution, pest control, parks, planning, environmental education, and enforcement.</w:t>
      </w:r>
    </w:p>
    <w:p>
      <w:pPr>
        <w:pStyle w:val="Default"/>
        <w:suppressAutoHyphens w:val="1"/>
        <w:spacing w:before="0" w:after="100" w:line="264" w:lineRule="auto"/>
        <w:rPr>
          <w:rFonts w:ascii="Calibri" w:cs="Calibri" w:hAnsi="Calibri" w:eastAsia="Calibri"/>
          <w:sz w:val="22"/>
          <w:szCs w:val="22"/>
        </w:rPr>
      </w:pPr>
      <w:r>
        <w:rPr>
          <w:rFonts w:ascii="Calibri" w:hAnsi="Calibri"/>
          <w:sz w:val="22"/>
          <w:szCs w:val="22"/>
          <w:rtl w:val="0"/>
          <w:lang w:val="en-US"/>
        </w:rPr>
        <w:t>Together, the legal and technical evidence turned everyday environmental hardship into a structured foundation for community action, school engagement, advocacy, and accountability.</w:t>
      </w:r>
    </w:p>
    <w:p>
      <w:pPr>
        <w:pStyle w:val="Default"/>
        <w:suppressAutoHyphens w:val="1"/>
        <w:spacing w:before="0" w:after="100" w:line="264" w:lineRule="auto"/>
      </w:pPr>
      <w:r>
        <w:rPr>
          <w:rFonts w:ascii="Arial Unicode MS" w:cs="Arial Unicode MS" w:hAnsi="Arial Unicode MS" w:eastAsia="Arial Unicode MS"/>
          <w:b w:val="0"/>
          <w:bCs w:val="0"/>
          <w:i w:val="0"/>
          <w:iCs w:val="0"/>
          <w:sz w:val="22"/>
          <w:szCs w:val="22"/>
        </w:rPr>
        <w:br w:type="page"/>
      </w:r>
    </w:p>
    <w:p>
      <w:pPr>
        <w:pStyle w:val="Default"/>
        <w:suppressAutoHyphens w:val="1"/>
        <w:spacing w:before="0" w:after="100" w:line="264" w:lineRule="auto"/>
        <w:rPr>
          <w:rFonts w:ascii="Calibri" w:cs="Calibri" w:hAnsi="Calibri" w:eastAsia="Calibri"/>
          <w:b w:val="1"/>
          <w:bCs w:val="1"/>
          <w:outline w:val="0"/>
          <w:color w:val="00ab8e"/>
          <w:sz w:val="30"/>
          <w:szCs w:val="30"/>
          <w14:textFill>
            <w14:solidFill>
              <w14:srgbClr w14:val="00AB8E"/>
            </w14:solidFill>
          </w14:textFill>
        </w:rPr>
      </w:pPr>
      <w:r>
        <w:rPr>
          <w:rFonts w:ascii="Calibri" w:hAnsi="Calibri"/>
          <w:b w:val="1"/>
          <w:bCs w:val="1"/>
          <w:outline w:val="0"/>
          <w:color w:val="00ab8e"/>
          <w:sz w:val="30"/>
          <w:szCs w:val="30"/>
          <w:rtl w:val="0"/>
          <w:lang w:val="en-US"/>
          <w14:textFill>
            <w14:solidFill>
              <w14:srgbClr w14:val="00AB8E"/>
            </w14:solidFill>
          </w14:textFill>
        </w:rPr>
        <w:t>2. Community Action</w:t>
      </w:r>
    </w:p>
    <w:p>
      <w:pPr>
        <w:pStyle w:val="Default"/>
        <w:suppressAutoHyphens w:val="1"/>
        <w:spacing w:before="120" w:line="264" w:lineRule="auto"/>
        <w:rPr>
          <w:rFonts w:ascii="Calibri" w:cs="Calibri" w:hAnsi="Calibri" w:eastAsia="Calibri"/>
          <w:b w:val="1"/>
          <w:bCs w:val="1"/>
          <w:outline w:val="0"/>
          <w:color w:val="00ab8e"/>
          <w14:textFill>
            <w14:solidFill>
              <w14:srgbClr w14:val="00AB8E"/>
            </w14:solidFill>
          </w14:textFill>
        </w:rPr>
      </w:pPr>
      <w:r>
        <w:rPr>
          <w:rFonts w:ascii="Calibri" w:hAnsi="Calibri"/>
          <w:b w:val="1"/>
          <w:bCs w:val="1"/>
          <w:outline w:val="0"/>
          <w:color w:val="00ab8e"/>
          <w:rtl w:val="0"/>
          <w:lang w:val="en-US"/>
          <w14:textFill>
            <w14:solidFill>
              <w14:srgbClr w14:val="00AB8E"/>
            </w14:solidFill>
          </w14:textFill>
        </w:rPr>
        <w:t>From Awareness to Practical Community Engagement</w:t>
      </w:r>
    </w:p>
    <w:p>
      <w:pPr>
        <w:pStyle w:val="Default"/>
        <w:suppressAutoHyphens w:val="1"/>
        <w:spacing w:before="0" w:after="100" w:line="264" w:lineRule="auto"/>
        <w:rPr>
          <w:rFonts w:ascii="Calibri" w:cs="Calibri" w:hAnsi="Calibri" w:eastAsia="Calibri"/>
          <w:sz w:val="18"/>
          <w:szCs w:val="18"/>
        </w:rPr>
      </w:pPr>
    </w:p>
    <w:p>
      <w:pPr>
        <w:pStyle w:val="Default"/>
        <w:suppressAutoHyphens w:val="1"/>
        <w:spacing w:before="0" w:after="100" w:line="264" w:lineRule="auto"/>
        <w:rPr>
          <w:rFonts w:ascii="Calibri" w:cs="Calibri" w:hAnsi="Calibri" w:eastAsia="Calibri"/>
          <w:sz w:val="22"/>
          <w:szCs w:val="22"/>
        </w:rPr>
      </w:pPr>
      <w:r>
        <w:rPr>
          <w:rFonts w:ascii="Calibri" w:hAnsi="Calibri"/>
          <w:sz w:val="22"/>
          <w:szCs w:val="22"/>
          <w:rtl w:val="0"/>
          <w:lang w:val="en-US"/>
        </w:rPr>
        <w:t>The community component brought the project</w:t>
      </w:r>
      <w:r>
        <w:rPr>
          <w:rFonts w:ascii="Calibri" w:hAnsi="Calibri" w:hint="default"/>
          <w:sz w:val="22"/>
          <w:szCs w:val="22"/>
          <w:rtl w:val="1"/>
        </w:rPr>
        <w:t>’</w:t>
      </w:r>
      <w:r>
        <w:rPr>
          <w:rFonts w:ascii="Calibri" w:hAnsi="Calibri"/>
          <w:sz w:val="22"/>
          <w:szCs w:val="22"/>
          <w:rtl w:val="0"/>
          <w:lang w:val="en-US"/>
        </w:rPr>
        <w:t>s environmental justice agenda into everyday spaces: homes, schools, community centers, markets, and local streets. It worked with residents, women, youth, children, families, volunteers, community organizations, and local businesses, moving from awareness to practical action. The approach was direct: help people understand the problem, give them usable skills, support behavior change, and build local demand for continued environmental work.</w:t>
      </w:r>
    </w:p>
    <w:p>
      <w:pPr>
        <w:pStyle w:val="Default"/>
        <w:suppressAutoHyphens w:val="1"/>
        <w:spacing w:before="0" w:after="100" w:line="264" w:lineRule="auto"/>
        <w:rPr>
          <w:rFonts w:ascii="Calibri" w:cs="Calibri" w:hAnsi="Calibri" w:eastAsia="Calibri"/>
          <w:sz w:val="18"/>
          <w:szCs w:val="18"/>
        </w:rPr>
      </w:pPr>
    </w:p>
    <w:p>
      <w:pPr>
        <w:pStyle w:val="Default"/>
        <w:suppressAutoHyphens w:val="1"/>
        <w:spacing w:before="120" w:line="264" w:lineRule="auto"/>
        <w:rPr>
          <w:rFonts w:ascii="Calibri" w:cs="Calibri" w:hAnsi="Calibri" w:eastAsia="Calibri"/>
          <w:b w:val="1"/>
          <w:bCs w:val="1"/>
          <w:sz w:val="22"/>
          <w:szCs w:val="22"/>
        </w:rPr>
      </w:pPr>
      <w:r>
        <w:rPr>
          <w:rFonts w:ascii="Calibri" w:hAnsi="Calibri"/>
          <w:b w:val="1"/>
          <w:bCs w:val="1"/>
          <w:sz w:val="22"/>
          <w:szCs w:val="22"/>
          <w:rtl w:val="0"/>
          <w:lang w:val="en-US"/>
        </w:rPr>
        <w:t>2.1 Women as Household and Community Change Actors</w:t>
      </w:r>
    </w:p>
    <w:p>
      <w:pPr>
        <w:pStyle w:val="Default"/>
        <w:suppressAutoHyphens w:val="1"/>
        <w:spacing w:before="0" w:after="100" w:line="264" w:lineRule="auto"/>
        <w:rPr>
          <w:rFonts w:ascii="Calibri" w:cs="Calibri" w:hAnsi="Calibri" w:eastAsia="Calibri"/>
          <w:sz w:val="22"/>
          <w:szCs w:val="22"/>
        </w:rPr>
      </w:pPr>
      <w:r>
        <w:rPr>
          <w:rFonts w:ascii="Calibri" w:hAnsi="Calibri"/>
          <w:sz w:val="22"/>
          <w:szCs w:val="22"/>
          <w:rtl w:val="0"/>
          <w:lang w:val="en-US"/>
        </w:rPr>
        <w:t>Women were central to the community work because many environmental practices begin at home. Four zero-waste workshops were held in Teachers Village, Burj Al-LuqLuq, Al-Hamawi Center, and Madaa Center, reaching 59 women: 19 in Teachers Village, 8 in Burj Al-LuqLuq, 14 in Al-Hamawi Center, and 18 in Madaa Center.</w:t>
      </w:r>
    </w:p>
    <w:p>
      <w:pPr>
        <w:pStyle w:val="Default"/>
        <w:suppressAutoHyphens w:val="1"/>
        <w:spacing w:before="0" w:after="100" w:line="264" w:lineRule="auto"/>
        <w:rPr>
          <w:rFonts w:ascii="Calibri" w:cs="Calibri" w:hAnsi="Calibri" w:eastAsia="Calibri"/>
          <w:sz w:val="22"/>
          <w:szCs w:val="22"/>
        </w:rPr>
      </w:pPr>
      <w:r>
        <w:rPr>
          <w:rFonts w:ascii="Calibri" w:hAnsi="Calibri"/>
          <w:sz w:val="22"/>
          <w:szCs w:val="22"/>
          <w:rtl w:val="0"/>
          <w:lang w:val="en-US"/>
        </w:rPr>
        <w:t>The sessions addressed household waste, food scraps, old clothing, water and resource conservation, plastic reduction, toxic household tools, and natural alternatives such as sanitizers and deodorants. Women also joined three plastic-bag upcycling workshops, reaching 55 participants: 22 in Shu</w:t>
      </w:r>
      <w:r>
        <w:rPr>
          <w:rFonts w:ascii="Calibri" w:hAnsi="Calibri" w:hint="default"/>
          <w:sz w:val="22"/>
          <w:szCs w:val="22"/>
          <w:rtl w:val="1"/>
        </w:rPr>
        <w:t>’</w:t>
      </w:r>
      <w:r>
        <w:rPr>
          <w:rFonts w:ascii="Calibri" w:hAnsi="Calibri"/>
          <w:sz w:val="22"/>
          <w:szCs w:val="22"/>
          <w:rtl w:val="0"/>
          <w:lang w:val="en-US"/>
        </w:rPr>
        <w:t>fat Camp, 15 in Al-Ram, and 18 in Bethany. They learned to collect, clean, cut, twist, and prepare single-use plastic bags into thread for weaving, turning a source of pollution into a practical material.</w:t>
      </w:r>
    </w:p>
    <w:p>
      <w:pPr>
        <w:pStyle w:val="Default"/>
        <w:suppressAutoHyphens w:val="1"/>
        <w:spacing w:before="0" w:after="100" w:line="264" w:lineRule="auto"/>
        <w:rPr>
          <w:rFonts w:ascii="Calibri" w:cs="Calibri" w:hAnsi="Calibri" w:eastAsia="Calibri"/>
          <w:sz w:val="18"/>
          <w:szCs w:val="18"/>
        </w:rPr>
      </w:pPr>
    </w:p>
    <w:p>
      <w:pPr>
        <w:pStyle w:val="Default"/>
        <w:suppressAutoHyphens w:val="1"/>
        <w:spacing w:before="120" w:line="264" w:lineRule="auto"/>
        <w:rPr>
          <w:rFonts w:ascii="Calibri" w:cs="Calibri" w:hAnsi="Calibri" w:eastAsia="Calibri"/>
          <w:b w:val="1"/>
          <w:bCs w:val="1"/>
          <w:sz w:val="22"/>
          <w:szCs w:val="22"/>
        </w:rPr>
      </w:pPr>
      <w:r>
        <w:rPr>
          <w:rFonts w:ascii="Calibri" w:hAnsi="Calibri"/>
          <w:b w:val="1"/>
          <w:bCs w:val="1"/>
          <w:sz w:val="22"/>
          <w:szCs w:val="22"/>
          <w:rtl w:val="0"/>
          <w:lang w:val="en-US"/>
        </w:rPr>
        <w:t>2.2 Youth Engagement and Environmental Leadership</w:t>
      </w:r>
    </w:p>
    <w:p>
      <w:pPr>
        <w:pStyle w:val="Default"/>
        <w:suppressAutoHyphens w:val="1"/>
        <w:spacing w:before="0" w:after="100" w:line="264" w:lineRule="auto"/>
        <w:rPr>
          <w:rFonts w:ascii="Calibri" w:cs="Calibri" w:hAnsi="Calibri" w:eastAsia="Calibri"/>
          <w:sz w:val="22"/>
          <w:szCs w:val="22"/>
        </w:rPr>
      </w:pPr>
      <w:r>
        <w:rPr>
          <w:rFonts w:ascii="Calibri" w:hAnsi="Calibri"/>
          <w:sz w:val="22"/>
          <w:szCs w:val="22"/>
          <w:rtl w:val="0"/>
          <w:lang w:val="en-US"/>
        </w:rPr>
        <w:t>Youth activities focused on leadership, responsibility, and hands-on learning. Six environmental awareness workshops with women and youth in Bethany, the Old City, Al-Suwaneh, and Shu</w:t>
      </w:r>
      <w:r>
        <w:rPr>
          <w:rFonts w:ascii="Calibri" w:hAnsi="Calibri" w:hint="default"/>
          <w:sz w:val="22"/>
          <w:szCs w:val="22"/>
          <w:rtl w:val="1"/>
        </w:rPr>
        <w:t>’</w:t>
      </w:r>
      <w:r>
        <w:rPr>
          <w:rFonts w:ascii="Calibri" w:hAnsi="Calibri"/>
          <w:sz w:val="22"/>
          <w:szCs w:val="22"/>
          <w:rtl w:val="0"/>
          <w:lang w:val="en-US"/>
        </w:rPr>
        <w:t>fat Camp reached 97 participants. Young people discussed solid waste, climate change, carbon footprint, ecological agriculture, environmental conservation, and individual responsibility.</w:t>
      </w:r>
    </w:p>
    <w:p>
      <w:pPr>
        <w:pStyle w:val="Default"/>
        <w:suppressAutoHyphens w:val="1"/>
        <w:spacing w:before="0" w:after="100" w:line="264" w:lineRule="auto"/>
        <w:rPr>
          <w:rFonts w:ascii="Calibri" w:cs="Calibri" w:hAnsi="Calibri" w:eastAsia="Calibri"/>
          <w:sz w:val="22"/>
          <w:szCs w:val="22"/>
        </w:rPr>
      </w:pPr>
      <w:r>
        <w:rPr>
          <w:rFonts w:ascii="Calibri" w:hAnsi="Calibri"/>
          <w:sz w:val="22"/>
          <w:szCs w:val="22"/>
          <w:rtl w:val="0"/>
          <w:lang w:val="en-US"/>
        </w:rPr>
        <w:t>At Al-Hamawi Center in Bethany, 11 tenth-grade students showed willingness to join volunteer activities. At Burj Al-LuqLuq, 15 male students engaged through games, videos, and challenges. At Al-Masera Girls School, 16 students requested practical recycling and agriculture workshops. In Silwan, 12 young participants aged 19</w:t>
      </w:r>
      <w:r>
        <w:rPr>
          <w:rFonts w:ascii="Calibri" w:hAnsi="Calibri" w:hint="default"/>
          <w:sz w:val="22"/>
          <w:szCs w:val="22"/>
          <w:rtl w:val="0"/>
        </w:rPr>
        <w:t>–</w:t>
      </w:r>
      <w:r>
        <w:rPr>
          <w:rFonts w:ascii="Calibri" w:hAnsi="Calibri"/>
          <w:sz w:val="22"/>
          <w:szCs w:val="22"/>
          <w:rtl w:val="0"/>
          <w:lang w:val="en-US"/>
        </w:rPr>
        <w:t>24 joined similar discussions.</w:t>
      </w:r>
    </w:p>
    <w:p>
      <w:pPr>
        <w:pStyle w:val="Default"/>
        <w:suppressAutoHyphens w:val="1"/>
        <w:spacing w:before="0" w:after="100" w:line="264" w:lineRule="auto"/>
        <w:rPr>
          <w:rFonts w:ascii="Calibri" w:cs="Calibri" w:hAnsi="Calibri" w:eastAsia="Calibri"/>
          <w:sz w:val="18"/>
          <w:szCs w:val="18"/>
        </w:rPr>
      </w:pPr>
    </w:p>
    <w:p>
      <w:pPr>
        <w:pStyle w:val="Default"/>
        <w:suppressAutoHyphens w:val="1"/>
        <w:spacing w:before="120" w:line="264" w:lineRule="auto"/>
        <w:rPr>
          <w:rFonts w:ascii="Calibri" w:cs="Calibri" w:hAnsi="Calibri" w:eastAsia="Calibri"/>
          <w:b w:val="1"/>
          <w:bCs w:val="1"/>
          <w:sz w:val="22"/>
          <w:szCs w:val="22"/>
        </w:rPr>
      </w:pPr>
      <w:r>
        <w:rPr>
          <w:rFonts w:ascii="Calibri" w:hAnsi="Calibri"/>
          <w:b w:val="1"/>
          <w:bCs w:val="1"/>
          <w:sz w:val="22"/>
          <w:szCs w:val="22"/>
          <w:rtl w:val="0"/>
          <w:lang w:val="en-US"/>
        </w:rPr>
        <w:t>2.3 Awareness, Training, and Public Messaging</w:t>
      </w:r>
    </w:p>
    <w:p>
      <w:pPr>
        <w:pStyle w:val="Default"/>
        <w:suppressAutoHyphens w:val="1"/>
        <w:spacing w:before="0" w:after="100" w:line="264" w:lineRule="auto"/>
        <w:rPr>
          <w:rFonts w:ascii="Calibri" w:cs="Calibri" w:hAnsi="Calibri" w:eastAsia="Calibri"/>
          <w:sz w:val="22"/>
          <w:szCs w:val="22"/>
        </w:rPr>
      </w:pPr>
      <w:r>
        <w:rPr>
          <w:rFonts w:ascii="Calibri" w:hAnsi="Calibri"/>
          <w:sz w:val="22"/>
          <w:szCs w:val="22"/>
          <w:rtl w:val="0"/>
          <w:lang w:val="en-US"/>
        </w:rPr>
        <w:t xml:space="preserve">The awareness work was reinforced through eco-friendly materials, reusable cloth bags, flyers, posters, and the short video </w:t>
      </w:r>
      <w:r>
        <w:rPr>
          <w:rFonts w:ascii="Calibri" w:hAnsi="Calibri" w:hint="default"/>
          <w:sz w:val="22"/>
          <w:szCs w:val="22"/>
          <w:rtl w:val="1"/>
          <w:lang w:val="ar-SA" w:bidi="ar-SA"/>
        </w:rPr>
        <w:t>“</w:t>
      </w:r>
      <w:r>
        <w:rPr>
          <w:rFonts w:ascii="Calibri" w:hAnsi="Calibri"/>
          <w:sz w:val="22"/>
          <w:szCs w:val="22"/>
          <w:rtl w:val="0"/>
          <w:lang w:val="en-US"/>
        </w:rPr>
        <w:t>Ending Plastic Pollution.</w:t>
      </w:r>
      <w:r>
        <w:rPr>
          <w:rFonts w:ascii="Calibri" w:hAnsi="Calibri" w:hint="default"/>
          <w:sz w:val="22"/>
          <w:szCs w:val="22"/>
          <w:rtl w:val="0"/>
        </w:rPr>
        <w:t xml:space="preserve">” </w:t>
      </w:r>
      <w:r>
        <w:rPr>
          <w:rFonts w:ascii="Calibri" w:hAnsi="Calibri"/>
          <w:sz w:val="22"/>
          <w:szCs w:val="22"/>
          <w:rtl w:val="0"/>
          <w:lang w:val="en-US"/>
        </w:rPr>
        <w:t xml:space="preserve">Its message, </w:t>
      </w:r>
      <w:r>
        <w:rPr>
          <w:rFonts w:ascii="Calibri" w:hAnsi="Calibri" w:hint="default"/>
          <w:sz w:val="22"/>
          <w:szCs w:val="22"/>
          <w:rtl w:val="1"/>
          <w:lang w:val="ar-SA" w:bidi="ar-SA"/>
        </w:rPr>
        <w:t>“</w:t>
      </w:r>
      <w:r>
        <w:rPr>
          <w:rFonts w:ascii="Calibri" w:hAnsi="Calibri"/>
          <w:sz w:val="22"/>
          <w:szCs w:val="22"/>
          <w:rtl w:val="0"/>
          <w:lang w:val="en-US"/>
        </w:rPr>
        <w:t>Start with your environment; be the first to drive the change,</w:t>
      </w:r>
      <w:r>
        <w:rPr>
          <w:rFonts w:ascii="Calibri" w:hAnsi="Calibri" w:hint="default"/>
          <w:sz w:val="22"/>
          <w:szCs w:val="22"/>
          <w:rtl w:val="0"/>
        </w:rPr>
        <w:t xml:space="preserve">” </w:t>
      </w:r>
      <w:r>
        <w:rPr>
          <w:rFonts w:ascii="Calibri" w:hAnsi="Calibri"/>
          <w:sz w:val="22"/>
          <w:szCs w:val="22"/>
          <w:rtl w:val="0"/>
          <w:lang w:val="en-US"/>
        </w:rPr>
        <w:t>connected personal habits with wider community responsibility.</w:t>
      </w:r>
    </w:p>
    <w:p>
      <w:pPr>
        <w:pStyle w:val="Default"/>
        <w:suppressAutoHyphens w:val="1"/>
        <w:spacing w:before="0" w:after="100" w:line="264" w:lineRule="auto"/>
        <w:rPr>
          <w:rFonts w:ascii="Calibri" w:cs="Calibri" w:hAnsi="Calibri" w:eastAsia="Calibri"/>
          <w:sz w:val="16"/>
          <w:szCs w:val="16"/>
        </w:rPr>
      </w:pPr>
    </w:p>
    <w:p>
      <w:pPr>
        <w:pStyle w:val="Default"/>
        <w:suppressAutoHyphens w:val="1"/>
        <w:spacing w:before="120" w:line="264" w:lineRule="auto"/>
        <w:rPr>
          <w:rFonts w:ascii="Calibri" w:cs="Calibri" w:hAnsi="Calibri" w:eastAsia="Calibri"/>
          <w:b w:val="1"/>
          <w:bCs w:val="1"/>
          <w:sz w:val="22"/>
          <w:szCs w:val="22"/>
        </w:rPr>
      </w:pPr>
      <w:r>
        <w:rPr>
          <w:rFonts w:ascii="Calibri" w:hAnsi="Calibri"/>
          <w:b w:val="1"/>
          <w:bCs w:val="1"/>
          <w:sz w:val="22"/>
          <w:szCs w:val="22"/>
          <w:rtl w:val="0"/>
          <w:lang w:val="en-US"/>
        </w:rPr>
        <w:t>2.4 Recycling and Practical Skills</w:t>
      </w:r>
    </w:p>
    <w:p>
      <w:pPr>
        <w:pStyle w:val="Default"/>
        <w:suppressAutoHyphens w:val="1"/>
        <w:spacing w:before="0" w:after="100" w:line="264" w:lineRule="auto"/>
        <w:rPr>
          <w:rFonts w:ascii="Calibri" w:cs="Calibri" w:hAnsi="Calibri" w:eastAsia="Calibri"/>
          <w:sz w:val="22"/>
          <w:szCs w:val="22"/>
        </w:rPr>
      </w:pPr>
      <w:r>
        <w:rPr>
          <w:rFonts w:ascii="Calibri" w:hAnsi="Calibri"/>
          <w:sz w:val="22"/>
          <w:szCs w:val="22"/>
          <w:rtl w:val="0"/>
          <w:lang w:val="en-US"/>
        </w:rPr>
        <w:t>Practical skills gave the campaign visible results. Women learned plastic-bag weaving; 15 women built foldable tables from wooden pallets; 21 children created shelves and murals; 15 youth produced a decorative wooden logo; 20 children made wooden planters and murals; and 22 women built storage shelves and tables. Composting was also introduced, with five families in Al-Ram receiving household composting units and guidance.</w:t>
      </w:r>
    </w:p>
    <w:p>
      <w:pPr>
        <w:pStyle w:val="Default"/>
        <w:suppressAutoHyphens w:val="1"/>
        <w:spacing w:before="0" w:after="100" w:line="264" w:lineRule="auto"/>
        <w:rPr>
          <w:rFonts w:ascii="Calibri" w:cs="Calibri" w:hAnsi="Calibri" w:eastAsia="Calibri"/>
          <w:sz w:val="16"/>
          <w:szCs w:val="16"/>
        </w:rPr>
      </w:pPr>
    </w:p>
    <w:p>
      <w:pPr>
        <w:pStyle w:val="Default"/>
        <w:suppressAutoHyphens w:val="1"/>
        <w:spacing w:before="120" w:line="264" w:lineRule="auto"/>
        <w:rPr>
          <w:rFonts w:ascii="Calibri" w:cs="Calibri" w:hAnsi="Calibri" w:eastAsia="Calibri"/>
          <w:b w:val="1"/>
          <w:bCs w:val="1"/>
          <w:sz w:val="22"/>
          <w:szCs w:val="22"/>
        </w:rPr>
      </w:pPr>
      <w:r>
        <w:rPr>
          <w:rFonts w:ascii="Calibri" w:hAnsi="Calibri"/>
          <w:b w:val="1"/>
          <w:bCs w:val="1"/>
          <w:sz w:val="22"/>
          <w:szCs w:val="22"/>
          <w:rtl w:val="0"/>
          <w:lang w:val="en-US"/>
        </w:rPr>
        <w:t>2.5 Citizens</w:t>
      </w:r>
      <w:r>
        <w:rPr>
          <w:rFonts w:ascii="Calibri" w:hAnsi="Calibri" w:hint="default"/>
          <w:b w:val="1"/>
          <w:bCs w:val="1"/>
          <w:sz w:val="22"/>
          <w:szCs w:val="22"/>
          <w:rtl w:val="1"/>
        </w:rPr>
        <w:t xml:space="preserve">’ </w:t>
      </w:r>
      <w:r>
        <w:rPr>
          <w:rFonts w:ascii="Calibri" w:hAnsi="Calibri"/>
          <w:b w:val="1"/>
          <w:bCs w:val="1"/>
          <w:sz w:val="22"/>
          <w:szCs w:val="22"/>
          <w:rtl w:val="0"/>
          <w:lang w:val="en-US"/>
        </w:rPr>
        <w:t>Initiatives and Local Participation</w:t>
      </w:r>
    </w:p>
    <w:p>
      <w:pPr>
        <w:pStyle w:val="Default"/>
        <w:suppressAutoHyphens w:val="1"/>
        <w:spacing w:before="0" w:after="100" w:line="264" w:lineRule="auto"/>
      </w:pPr>
      <w:r>
        <w:rPr>
          <w:rFonts w:ascii="Calibri" w:hAnsi="Calibri"/>
          <w:sz w:val="22"/>
          <w:szCs w:val="22"/>
          <w:rtl w:val="0"/>
          <w:lang w:val="en-US"/>
        </w:rPr>
        <w:t>Local participation shaped the work from the start. Two rapid-appraisal focus groups were conducted in each community to identify challenges and priorities. Later, youth volunteers distributed 900 cloth bags across the Old City, Al-Ayzareh, and Al-Ram, encouraging merchants to reduce single-use plastic. Community action therefore became more than awareness; it became practical, visible, and locally owned.</w:t>
      </w:r>
      <w:r>
        <w:rPr>
          <w:rFonts w:ascii="Arial Unicode MS" w:cs="Arial Unicode MS" w:hAnsi="Arial Unicode MS" w:eastAsia="Arial Unicode MS"/>
          <w:b w:val="0"/>
          <w:bCs w:val="0"/>
          <w:i w:val="0"/>
          <w:iCs w:val="0"/>
          <w:sz w:val="22"/>
          <w:szCs w:val="22"/>
        </w:rPr>
        <w:br w:type="page"/>
      </w:r>
    </w:p>
    <w:p>
      <w:pPr>
        <w:pStyle w:val="Default"/>
        <w:suppressAutoHyphens w:val="1"/>
        <w:spacing w:before="0" w:after="100" w:line="264" w:lineRule="auto"/>
        <w:rPr>
          <w:rFonts w:ascii="Calibri" w:cs="Calibri" w:hAnsi="Calibri" w:eastAsia="Calibri"/>
          <w:b w:val="1"/>
          <w:bCs w:val="1"/>
          <w:outline w:val="0"/>
          <w:color w:val="00ab8e"/>
          <w:sz w:val="32"/>
          <w:szCs w:val="32"/>
          <w14:textFill>
            <w14:solidFill>
              <w14:srgbClr w14:val="00AB8E"/>
            </w14:solidFill>
          </w14:textFill>
        </w:rPr>
      </w:pPr>
      <w:r>
        <w:rPr>
          <w:rFonts w:ascii="Calibri" w:hAnsi="Calibri"/>
          <w:b w:val="1"/>
          <w:bCs w:val="1"/>
          <w:outline w:val="0"/>
          <w:color w:val="00ab8e"/>
          <w:sz w:val="32"/>
          <w:szCs w:val="32"/>
          <w:rtl w:val="0"/>
          <w:lang w:val="en-US"/>
          <w14:textFill>
            <w14:solidFill>
              <w14:srgbClr w14:val="00AB8E"/>
            </w14:solidFill>
          </w14:textFill>
        </w:rPr>
        <w:t>3. School Action</w:t>
      </w:r>
    </w:p>
    <w:p>
      <w:pPr>
        <w:pStyle w:val="Default"/>
        <w:suppressAutoHyphens w:val="1"/>
        <w:spacing w:before="120" w:line="264" w:lineRule="auto"/>
        <w:rPr>
          <w:rFonts w:ascii="Calibri" w:cs="Calibri" w:hAnsi="Calibri" w:eastAsia="Calibri"/>
          <w:b w:val="1"/>
          <w:bCs w:val="1"/>
          <w:outline w:val="0"/>
          <w:color w:val="00ab8e"/>
          <w14:textFill>
            <w14:solidFill>
              <w14:srgbClr w14:val="00AB8E"/>
            </w14:solidFill>
          </w14:textFill>
        </w:rPr>
      </w:pPr>
      <w:r>
        <w:rPr>
          <w:rFonts w:ascii="Calibri" w:hAnsi="Calibri"/>
          <w:b w:val="1"/>
          <w:bCs w:val="1"/>
          <w:outline w:val="0"/>
          <w:color w:val="00ab8e"/>
          <w:rtl w:val="0"/>
          <w:lang w:val="en-US"/>
          <w14:textFill>
            <w14:solidFill>
              <w14:srgbClr w14:val="00AB8E"/>
            </w14:solidFill>
          </w14:textFill>
        </w:rPr>
        <w:t>Turning Environmental Education into School-Based Practice</w:t>
      </w:r>
    </w:p>
    <w:p>
      <w:pPr>
        <w:pStyle w:val="Default"/>
        <w:suppressAutoHyphens w:val="1"/>
        <w:spacing w:before="0" w:after="100" w:line="264" w:lineRule="auto"/>
        <w:rPr>
          <w:rFonts w:ascii="Calibri" w:cs="Calibri" w:hAnsi="Calibri" w:eastAsia="Calibri"/>
          <w:sz w:val="14"/>
          <w:szCs w:val="14"/>
        </w:rPr>
      </w:pPr>
    </w:p>
    <w:p>
      <w:pPr>
        <w:pStyle w:val="Default"/>
        <w:suppressAutoHyphens w:val="1"/>
        <w:spacing w:before="0" w:after="100" w:line="264" w:lineRule="auto"/>
        <w:rPr>
          <w:rFonts w:ascii="Calibri" w:cs="Calibri" w:hAnsi="Calibri" w:eastAsia="Calibri"/>
          <w:sz w:val="22"/>
          <w:szCs w:val="22"/>
        </w:rPr>
      </w:pPr>
      <w:r>
        <w:rPr>
          <w:rFonts w:ascii="Calibri" w:hAnsi="Calibri"/>
          <w:sz w:val="22"/>
          <w:szCs w:val="22"/>
          <w:rtl w:val="0"/>
          <w:lang w:val="en-US"/>
        </w:rPr>
        <w:t>The school component brought environmental learning into the daily life of students and teachers. It did not treat schools only as places for awareness sessions, but as spaces where ideas could be tested, practiced, and made visible. Ten secondary schools participated; teachers received training-of-trainers support; and more than 300 students from grades 7</w:t>
      </w:r>
      <w:r>
        <w:rPr>
          <w:rFonts w:ascii="Calibri" w:hAnsi="Calibri" w:hint="default"/>
          <w:sz w:val="22"/>
          <w:szCs w:val="22"/>
          <w:rtl w:val="0"/>
        </w:rPr>
        <w:t>–</w:t>
      </w:r>
      <w:r>
        <w:rPr>
          <w:rFonts w:ascii="Calibri" w:hAnsi="Calibri"/>
          <w:sz w:val="22"/>
          <w:szCs w:val="22"/>
          <w:rtl w:val="0"/>
          <w:lang w:val="en-US"/>
        </w:rPr>
        <w:t>10 joined environmental clubs, awareness campaigns, cleaning drives, gardening projects, games, and competitions.</w:t>
      </w:r>
    </w:p>
    <w:p>
      <w:pPr>
        <w:pStyle w:val="Default"/>
        <w:suppressAutoHyphens w:val="1"/>
        <w:spacing w:before="0" w:after="100" w:line="264" w:lineRule="auto"/>
        <w:rPr>
          <w:rFonts w:ascii="Calibri" w:cs="Calibri" w:hAnsi="Calibri" w:eastAsia="Calibri"/>
          <w:sz w:val="8"/>
          <w:szCs w:val="8"/>
        </w:rPr>
      </w:pPr>
    </w:p>
    <w:p>
      <w:pPr>
        <w:pStyle w:val="Default"/>
        <w:suppressAutoHyphens w:val="1"/>
        <w:spacing w:before="120" w:line="264" w:lineRule="auto"/>
        <w:rPr>
          <w:rFonts w:ascii="Calibri" w:cs="Calibri" w:hAnsi="Calibri" w:eastAsia="Calibri"/>
          <w:b w:val="1"/>
          <w:bCs w:val="1"/>
          <w:sz w:val="22"/>
          <w:szCs w:val="22"/>
        </w:rPr>
      </w:pPr>
      <w:r>
        <w:rPr>
          <w:rFonts w:ascii="Calibri" w:hAnsi="Calibri"/>
          <w:b w:val="1"/>
          <w:bCs w:val="1"/>
          <w:sz w:val="22"/>
          <w:szCs w:val="22"/>
          <w:rtl w:val="0"/>
          <w:lang w:val="en-US"/>
        </w:rPr>
        <w:t>3.1 Teachers as Multipliers of Environmental Education</w:t>
      </w:r>
    </w:p>
    <w:p>
      <w:pPr>
        <w:pStyle w:val="Default"/>
        <w:suppressAutoHyphens w:val="1"/>
        <w:spacing w:before="0" w:after="100" w:line="264" w:lineRule="auto"/>
        <w:rPr>
          <w:rFonts w:ascii="Calibri" w:cs="Calibri" w:hAnsi="Calibri" w:eastAsia="Calibri"/>
          <w:sz w:val="22"/>
          <w:szCs w:val="22"/>
        </w:rPr>
      </w:pPr>
      <w:r>
        <w:rPr>
          <w:rFonts w:ascii="Calibri" w:hAnsi="Calibri"/>
          <w:sz w:val="22"/>
          <w:szCs w:val="22"/>
          <w:rtl w:val="0"/>
          <w:lang w:val="en-US"/>
        </w:rPr>
        <w:t>Teachers were trained as multipliers who could carry environmental knowledge beyond the project</w:t>
      </w:r>
      <w:r>
        <w:rPr>
          <w:rFonts w:ascii="Calibri" w:hAnsi="Calibri" w:hint="default"/>
          <w:sz w:val="22"/>
          <w:szCs w:val="22"/>
          <w:rtl w:val="1"/>
        </w:rPr>
        <w:t>’</w:t>
      </w:r>
      <w:r>
        <w:rPr>
          <w:rFonts w:ascii="Calibri" w:hAnsi="Calibri"/>
          <w:sz w:val="22"/>
          <w:szCs w:val="22"/>
          <w:rtl w:val="0"/>
          <w:lang w:val="en-US"/>
        </w:rPr>
        <w:t>s direct activities. An eight-day Training of Trainers programme covered biodiversity, climate change, sustainable consumption, waste management, environmental leadership, soil testing, and composting.</w:t>
      </w:r>
    </w:p>
    <w:p>
      <w:pPr>
        <w:pStyle w:val="Default"/>
        <w:suppressAutoHyphens w:val="1"/>
        <w:spacing w:before="0" w:after="100" w:line="264" w:lineRule="auto"/>
        <w:rPr>
          <w:rFonts w:ascii="Calibri" w:cs="Calibri" w:hAnsi="Calibri" w:eastAsia="Calibri"/>
          <w:sz w:val="22"/>
          <w:szCs w:val="22"/>
        </w:rPr>
      </w:pPr>
      <w:r>
        <w:rPr>
          <w:rFonts w:ascii="Calibri" w:hAnsi="Calibri"/>
          <w:sz w:val="22"/>
          <w:szCs w:val="22"/>
          <w:rtl w:val="0"/>
          <w:lang w:val="en-US"/>
        </w:rPr>
        <w:t xml:space="preserve">Two intensive programmes took place in June and August 2024, using interactive lectures, storytelling, videos, practical exercises, and field exposure to gardens and farms. The results showed strong engagement: the biodiversity lecture exceeded expectations for 75% of participants; the </w:t>
      </w:r>
      <w:r>
        <w:rPr>
          <w:rFonts w:ascii="Calibri" w:hAnsi="Calibri" w:hint="default"/>
          <w:sz w:val="22"/>
          <w:szCs w:val="22"/>
          <w:rtl w:val="1"/>
          <w:lang w:val="ar-SA" w:bidi="ar-SA"/>
        </w:rPr>
        <w:t>“</w:t>
      </w:r>
      <w:r>
        <w:rPr>
          <w:rFonts w:ascii="Calibri" w:hAnsi="Calibri"/>
          <w:sz w:val="22"/>
          <w:szCs w:val="22"/>
          <w:rtl w:val="0"/>
          <w:lang w:val="en-US"/>
        </w:rPr>
        <w:t>We Adapt</w:t>
      </w:r>
      <w:r>
        <w:rPr>
          <w:rFonts w:ascii="Calibri" w:hAnsi="Calibri" w:hint="default"/>
          <w:sz w:val="22"/>
          <w:szCs w:val="22"/>
          <w:rtl w:val="0"/>
        </w:rPr>
        <w:t xml:space="preserve">” </w:t>
      </w:r>
      <w:r>
        <w:rPr>
          <w:rFonts w:ascii="Calibri" w:hAnsi="Calibri"/>
          <w:sz w:val="22"/>
          <w:szCs w:val="22"/>
          <w:rtl w:val="0"/>
          <w:lang w:val="en-US"/>
        </w:rPr>
        <w:t>climate-change lecture was rated extremely useful by 83.3%; and practical activities such as soil pH testing, soil-structure testing, and compost tea production were considered extremely useful by 75%.</w:t>
      </w:r>
    </w:p>
    <w:p>
      <w:pPr>
        <w:pStyle w:val="Default"/>
        <w:suppressAutoHyphens w:val="1"/>
        <w:spacing w:before="0" w:after="100" w:line="264" w:lineRule="auto"/>
        <w:rPr>
          <w:rFonts w:ascii="Calibri" w:cs="Calibri" w:hAnsi="Calibri" w:eastAsia="Calibri"/>
          <w:sz w:val="8"/>
          <w:szCs w:val="8"/>
        </w:rPr>
      </w:pPr>
    </w:p>
    <w:p>
      <w:pPr>
        <w:pStyle w:val="Default"/>
        <w:suppressAutoHyphens w:val="1"/>
        <w:spacing w:before="120" w:line="264" w:lineRule="auto"/>
        <w:rPr>
          <w:rFonts w:ascii="Calibri" w:cs="Calibri" w:hAnsi="Calibri" w:eastAsia="Calibri"/>
          <w:b w:val="1"/>
          <w:bCs w:val="1"/>
          <w:sz w:val="22"/>
          <w:szCs w:val="22"/>
        </w:rPr>
      </w:pPr>
      <w:r>
        <w:rPr>
          <w:rFonts w:ascii="Calibri" w:hAnsi="Calibri"/>
          <w:b w:val="1"/>
          <w:bCs w:val="1"/>
          <w:sz w:val="22"/>
          <w:szCs w:val="22"/>
          <w:rtl w:val="0"/>
          <w:lang w:val="en-US"/>
        </w:rPr>
        <w:t>3.2 Student Leadership and Applied Learning</w:t>
      </w:r>
    </w:p>
    <w:p>
      <w:pPr>
        <w:pStyle w:val="Default"/>
        <w:suppressAutoHyphens w:val="1"/>
        <w:spacing w:before="0" w:after="100" w:line="264" w:lineRule="auto"/>
        <w:rPr>
          <w:rFonts w:ascii="Calibri" w:cs="Calibri" w:hAnsi="Calibri" w:eastAsia="Calibri"/>
          <w:sz w:val="22"/>
          <w:szCs w:val="22"/>
        </w:rPr>
      </w:pPr>
      <w:r>
        <w:rPr>
          <w:rFonts w:ascii="Calibri" w:hAnsi="Calibri"/>
          <w:sz w:val="22"/>
          <w:szCs w:val="22"/>
          <w:rtl w:val="0"/>
          <w:lang w:val="en-US"/>
        </w:rPr>
        <w:t>Students were approached as young environmental leaders, not passive listeners. Environmental clubs in two schools received a 20-day training programme supported by an accessible booklet. The training introduced mindful consumption, solid-waste management, reduce</w:t>
      </w:r>
      <w:r>
        <w:rPr>
          <w:rFonts w:ascii="Calibri" w:hAnsi="Calibri" w:hint="default"/>
          <w:sz w:val="22"/>
          <w:szCs w:val="22"/>
          <w:rtl w:val="0"/>
        </w:rPr>
        <w:t>–</w:t>
      </w:r>
      <w:r>
        <w:rPr>
          <w:rFonts w:ascii="Calibri" w:hAnsi="Calibri"/>
          <w:sz w:val="22"/>
          <w:szCs w:val="22"/>
          <w:rtl w:val="0"/>
          <w:lang w:val="fr-FR"/>
        </w:rPr>
        <w:t>reuse</w:t>
      </w:r>
      <w:r>
        <w:rPr>
          <w:rFonts w:ascii="Calibri" w:hAnsi="Calibri" w:hint="default"/>
          <w:sz w:val="22"/>
          <w:szCs w:val="22"/>
          <w:rtl w:val="0"/>
        </w:rPr>
        <w:t>–</w:t>
      </w:r>
      <w:r>
        <w:rPr>
          <w:rFonts w:ascii="Calibri" w:hAnsi="Calibri"/>
          <w:sz w:val="22"/>
          <w:szCs w:val="22"/>
          <w:rtl w:val="0"/>
        </w:rPr>
        <w:t>recycle</w:t>
      </w:r>
      <w:r>
        <w:rPr>
          <w:rFonts w:ascii="Calibri" w:hAnsi="Calibri" w:hint="default"/>
          <w:sz w:val="22"/>
          <w:szCs w:val="22"/>
          <w:rtl w:val="0"/>
        </w:rPr>
        <w:t>–</w:t>
      </w:r>
      <w:r>
        <w:rPr>
          <w:rFonts w:ascii="Calibri" w:hAnsi="Calibri"/>
          <w:sz w:val="22"/>
          <w:szCs w:val="22"/>
          <w:rtl w:val="0"/>
          <w:lang w:val="en-US"/>
        </w:rPr>
        <w:t>recover practices, climate adaptation, renewable energy, and environmental leadership.</w:t>
      </w:r>
    </w:p>
    <w:p>
      <w:pPr>
        <w:pStyle w:val="Default"/>
        <w:suppressAutoHyphens w:val="1"/>
        <w:spacing w:before="0" w:after="100" w:line="264" w:lineRule="auto"/>
        <w:rPr>
          <w:rFonts w:ascii="Calibri" w:cs="Calibri" w:hAnsi="Calibri" w:eastAsia="Calibri"/>
          <w:sz w:val="22"/>
          <w:szCs w:val="22"/>
        </w:rPr>
      </w:pPr>
      <w:r>
        <w:rPr>
          <w:rFonts w:ascii="Calibri" w:hAnsi="Calibri"/>
          <w:sz w:val="22"/>
          <w:szCs w:val="22"/>
          <w:rtl w:val="0"/>
          <w:lang w:val="en-US"/>
        </w:rPr>
        <w:t>Across ten educational institutions, students explored sustainability, permaculture, natural farming, composting, off-grid living, recycling, upcycling, rooftop gardens, and vertical gardens. Engagement varied from one school to another, but many students showed curiosity, discipline, and a clear interest in more practical follow-up.</w:t>
      </w:r>
    </w:p>
    <w:p>
      <w:pPr>
        <w:pStyle w:val="Default"/>
        <w:suppressAutoHyphens w:val="1"/>
        <w:spacing w:before="0" w:after="100" w:line="264" w:lineRule="auto"/>
        <w:rPr>
          <w:rFonts w:ascii="Calibri" w:cs="Calibri" w:hAnsi="Calibri" w:eastAsia="Calibri"/>
          <w:sz w:val="6"/>
          <w:szCs w:val="6"/>
        </w:rPr>
      </w:pPr>
    </w:p>
    <w:p>
      <w:pPr>
        <w:pStyle w:val="Default"/>
        <w:suppressAutoHyphens w:val="1"/>
        <w:spacing w:before="120" w:line="264" w:lineRule="auto"/>
        <w:rPr>
          <w:rFonts w:ascii="Calibri" w:cs="Calibri" w:hAnsi="Calibri" w:eastAsia="Calibri"/>
          <w:b w:val="1"/>
          <w:bCs w:val="1"/>
          <w:sz w:val="22"/>
          <w:szCs w:val="22"/>
        </w:rPr>
      </w:pPr>
      <w:r>
        <w:rPr>
          <w:rFonts w:ascii="Calibri" w:hAnsi="Calibri"/>
          <w:b w:val="1"/>
          <w:bCs w:val="1"/>
          <w:sz w:val="22"/>
          <w:szCs w:val="22"/>
          <w:rtl w:val="0"/>
          <w:lang w:val="en-US"/>
        </w:rPr>
        <w:t>3.3 School Activities and Learning Tools</w:t>
      </w:r>
    </w:p>
    <w:p>
      <w:pPr>
        <w:pStyle w:val="Default"/>
        <w:suppressAutoHyphens w:val="1"/>
        <w:spacing w:before="0" w:after="100" w:line="264" w:lineRule="auto"/>
        <w:rPr>
          <w:rFonts w:ascii="Calibri" w:cs="Calibri" w:hAnsi="Calibri" w:eastAsia="Calibri"/>
          <w:sz w:val="22"/>
          <w:szCs w:val="22"/>
        </w:rPr>
      </w:pPr>
      <w:r>
        <w:rPr>
          <w:rFonts w:ascii="Calibri" w:hAnsi="Calibri"/>
          <w:sz w:val="22"/>
          <w:szCs w:val="22"/>
          <w:rtl w:val="0"/>
          <w:lang w:val="en-US"/>
        </w:rPr>
        <w:t>The project turned learning into visible school action. Students painted murals on playground walls with messages about recycling, waste management, and reducing plastic use. They were also encouraged to design recycling projects, build compost bins, conserve water and energy, use durable bottles and lunchboxes, and share environmental messages with their peers.</w:t>
      </w:r>
    </w:p>
    <w:p>
      <w:pPr>
        <w:pStyle w:val="Default"/>
        <w:suppressAutoHyphens w:val="1"/>
        <w:spacing w:before="0" w:after="100" w:line="264" w:lineRule="auto"/>
        <w:rPr>
          <w:rFonts w:ascii="Calibri" w:cs="Calibri" w:hAnsi="Calibri" w:eastAsia="Calibri"/>
          <w:sz w:val="22"/>
          <w:szCs w:val="22"/>
        </w:rPr>
      </w:pPr>
      <w:r>
        <w:rPr>
          <w:rFonts w:ascii="Calibri" w:hAnsi="Calibri"/>
          <w:sz w:val="22"/>
          <w:szCs w:val="22"/>
          <w:rtl w:val="0"/>
          <w:lang w:val="en-US"/>
        </w:rPr>
        <w:t>When planned field visits were cancelled because of the political situation in Jerusalem in late 2024, practical learning continued through environmental education kits. These included air-quality meters, weather stations, pH meters, compost thermometers, freshwater testing kits, mini microscopes, seeds, garden materials, waste-sorting games, carbon-footprint worksheets, solar-energy demonstrations, and climate-learning cards.</w:t>
      </w:r>
    </w:p>
    <w:p>
      <w:pPr>
        <w:pStyle w:val="Default"/>
        <w:suppressAutoHyphens w:val="1"/>
        <w:spacing w:before="0" w:after="100" w:line="264" w:lineRule="auto"/>
        <w:rPr>
          <w:rFonts w:ascii="Calibri" w:cs="Calibri" w:hAnsi="Calibri" w:eastAsia="Calibri"/>
          <w:sz w:val="8"/>
          <w:szCs w:val="8"/>
        </w:rPr>
      </w:pPr>
    </w:p>
    <w:p>
      <w:pPr>
        <w:pStyle w:val="Default"/>
        <w:suppressAutoHyphens w:val="1"/>
        <w:spacing w:before="120" w:line="264" w:lineRule="auto"/>
        <w:rPr>
          <w:rFonts w:ascii="Calibri" w:cs="Calibri" w:hAnsi="Calibri" w:eastAsia="Calibri"/>
          <w:b w:val="1"/>
          <w:bCs w:val="1"/>
          <w:sz w:val="22"/>
          <w:szCs w:val="22"/>
        </w:rPr>
      </w:pPr>
      <w:r>
        <w:rPr>
          <w:rFonts w:ascii="Calibri" w:hAnsi="Calibri"/>
          <w:b w:val="1"/>
          <w:bCs w:val="1"/>
          <w:sz w:val="22"/>
          <w:szCs w:val="22"/>
          <w:rtl w:val="0"/>
          <w:lang w:val="en-US"/>
        </w:rPr>
        <w:t>3.4 Green Installations inside Schools</w:t>
      </w:r>
    </w:p>
    <w:p>
      <w:pPr>
        <w:pStyle w:val="Default"/>
        <w:suppressAutoHyphens w:val="1"/>
        <w:spacing w:before="0" w:after="60" w:line="264" w:lineRule="auto"/>
        <w:rPr>
          <w:rFonts w:ascii="Calibri" w:cs="Calibri" w:hAnsi="Calibri" w:eastAsia="Calibri"/>
          <w:sz w:val="22"/>
          <w:szCs w:val="22"/>
        </w:rPr>
      </w:pPr>
      <w:r>
        <w:rPr>
          <w:rFonts w:ascii="Calibri" w:hAnsi="Calibri"/>
          <w:sz w:val="22"/>
          <w:szCs w:val="22"/>
          <w:rtl w:val="0"/>
          <w:lang w:val="en-US"/>
        </w:rPr>
        <w:t>The clearest school-based outputs were the green installations. A pilot at Terra Santa School in the Old City introduced a raised herbal garden bed, compost tumbler, and aquaponic NFT green wall system. Ninth-grade students took part in soil preparation, planting, compost training, and aquaponics learning.</w:t>
      </w:r>
    </w:p>
    <w:p>
      <w:pPr>
        <w:pStyle w:val="Default"/>
        <w:suppressAutoHyphens w:val="1"/>
        <w:spacing w:before="0" w:after="100" w:line="264" w:lineRule="auto"/>
      </w:pPr>
      <w:r>
        <w:rPr>
          <w:rFonts w:ascii="Calibri" w:hAnsi="Calibri"/>
          <w:sz w:val="22"/>
          <w:szCs w:val="22"/>
          <w:rtl w:val="0"/>
          <w:lang w:val="en-US"/>
        </w:rPr>
        <w:t>The pilot showed strong student engagement, teacher enthusiasm, and visible improvement of the school yard. It also produced two operational lessons: aquaponic NFT installation should remain professional-only, and schools need earlier coordination on access and electricity. The rollout model standardized one raised herbal garden or green wall, one compost tumbler, and one aquaponic NFT green wall system for the remaining schools.</w:t>
      </w:r>
      <w:r>
        <w:rPr>
          <w:rFonts w:ascii="Arial Unicode MS" w:cs="Arial Unicode MS" w:hAnsi="Arial Unicode MS" w:eastAsia="Arial Unicode MS"/>
          <w:b w:val="0"/>
          <w:bCs w:val="0"/>
          <w:i w:val="0"/>
          <w:iCs w:val="0"/>
          <w:sz w:val="22"/>
          <w:szCs w:val="22"/>
        </w:rPr>
        <w:br w:type="page"/>
      </w:r>
    </w:p>
    <w:p>
      <w:pPr>
        <w:pStyle w:val="Default"/>
        <w:suppressAutoHyphens w:val="1"/>
        <w:spacing w:before="0" w:after="100" w:line="264" w:lineRule="auto"/>
        <w:rPr>
          <w:rFonts w:ascii="Calibri" w:cs="Calibri" w:hAnsi="Calibri" w:eastAsia="Calibri"/>
          <w:b w:val="1"/>
          <w:bCs w:val="1"/>
          <w:outline w:val="0"/>
          <w:color w:val="00ab8e"/>
          <w:sz w:val="32"/>
          <w:szCs w:val="32"/>
          <w14:textFill>
            <w14:solidFill>
              <w14:srgbClr w14:val="00AB8E"/>
            </w14:solidFill>
          </w14:textFill>
        </w:rPr>
      </w:pPr>
      <w:r>
        <w:rPr>
          <w:rFonts w:ascii="Calibri" w:hAnsi="Calibri"/>
          <w:b w:val="1"/>
          <w:bCs w:val="1"/>
          <w:outline w:val="0"/>
          <w:color w:val="00ab8e"/>
          <w:sz w:val="32"/>
          <w:szCs w:val="32"/>
          <w:rtl w:val="0"/>
          <w:lang w:val="en-US"/>
          <w14:textFill>
            <w14:solidFill>
              <w14:srgbClr w14:val="00AB8E"/>
            </w14:solidFill>
          </w14:textFill>
        </w:rPr>
        <w:t>4. Advocacy</w:t>
      </w:r>
    </w:p>
    <w:p>
      <w:pPr>
        <w:pStyle w:val="Default"/>
        <w:suppressAutoHyphens w:val="1"/>
        <w:spacing w:before="120" w:line="264" w:lineRule="auto"/>
        <w:rPr>
          <w:rFonts w:ascii="Calibri" w:cs="Calibri" w:hAnsi="Calibri" w:eastAsia="Calibri"/>
          <w:b w:val="1"/>
          <w:bCs w:val="1"/>
          <w:outline w:val="0"/>
          <w:color w:val="00ab8e"/>
          <w14:textFill>
            <w14:solidFill>
              <w14:srgbClr w14:val="00AB8E"/>
            </w14:solidFill>
          </w14:textFill>
        </w:rPr>
      </w:pPr>
      <w:r>
        <w:rPr>
          <w:rFonts w:ascii="Calibri" w:hAnsi="Calibri"/>
          <w:b w:val="1"/>
          <w:bCs w:val="1"/>
          <w:outline w:val="0"/>
          <w:color w:val="00ab8e"/>
          <w:rtl w:val="0"/>
          <w:lang w:val="en-US"/>
          <w14:textFill>
            <w14:solidFill>
              <w14:srgbClr w14:val="00AB8E"/>
            </w14:solidFill>
          </w14:textFill>
        </w:rPr>
        <w:t>From Evidence to Accountability and Policy Engagement</w:t>
      </w:r>
    </w:p>
    <w:p>
      <w:pPr>
        <w:pStyle w:val="Default"/>
        <w:suppressAutoHyphens w:val="1"/>
        <w:spacing w:before="0" w:after="100" w:line="264" w:lineRule="auto"/>
        <w:rPr>
          <w:rFonts w:ascii="Calibri" w:cs="Calibri" w:hAnsi="Calibri" w:eastAsia="Calibri"/>
          <w:sz w:val="14"/>
          <w:szCs w:val="14"/>
        </w:rPr>
      </w:pPr>
    </w:p>
    <w:p>
      <w:pPr>
        <w:pStyle w:val="Default"/>
        <w:suppressAutoHyphens w:val="1"/>
        <w:spacing w:before="0" w:after="100" w:line="264" w:lineRule="auto"/>
        <w:rPr>
          <w:rFonts w:ascii="Calibri" w:cs="Calibri" w:hAnsi="Calibri" w:eastAsia="Calibri"/>
          <w:sz w:val="22"/>
          <w:szCs w:val="22"/>
        </w:rPr>
      </w:pPr>
      <w:r>
        <w:rPr>
          <w:rFonts w:ascii="Calibri" w:hAnsi="Calibri"/>
          <w:sz w:val="22"/>
          <w:szCs w:val="22"/>
          <w:rtl w:val="0"/>
          <w:lang w:val="en-US"/>
        </w:rPr>
        <w:t>The advocacy component gave the project its public voice. It connected the technical study, legal analysis, community participation, and public campaigning into one direction: environmental problems in East Jerusalem are not only service gaps, but questions of rights, governance, institutional responsibility, and public policy.</w:t>
      </w:r>
    </w:p>
    <w:p>
      <w:pPr>
        <w:pStyle w:val="Default"/>
        <w:suppressAutoHyphens w:val="1"/>
        <w:spacing w:before="0" w:after="100" w:line="264" w:lineRule="auto"/>
        <w:rPr>
          <w:rFonts w:ascii="Calibri" w:cs="Calibri" w:hAnsi="Calibri" w:eastAsia="Calibri"/>
          <w:sz w:val="8"/>
          <w:szCs w:val="8"/>
        </w:rPr>
      </w:pPr>
    </w:p>
    <w:p>
      <w:pPr>
        <w:pStyle w:val="Default"/>
        <w:suppressAutoHyphens w:val="1"/>
        <w:spacing w:before="120" w:line="264" w:lineRule="auto"/>
        <w:rPr>
          <w:rFonts w:ascii="Calibri" w:cs="Calibri" w:hAnsi="Calibri" w:eastAsia="Calibri"/>
          <w:b w:val="1"/>
          <w:bCs w:val="1"/>
          <w:sz w:val="22"/>
          <w:szCs w:val="22"/>
        </w:rPr>
      </w:pPr>
      <w:r>
        <w:rPr>
          <w:rFonts w:ascii="Calibri" w:hAnsi="Calibri"/>
          <w:b w:val="1"/>
          <w:bCs w:val="1"/>
          <w:sz w:val="22"/>
          <w:szCs w:val="22"/>
          <w:rtl w:val="0"/>
          <w:lang w:val="en-US"/>
        </w:rPr>
        <w:t>4.1 Evidence for Advocacy</w:t>
      </w:r>
    </w:p>
    <w:p>
      <w:pPr>
        <w:pStyle w:val="Default"/>
        <w:suppressAutoHyphens w:val="1"/>
        <w:spacing w:before="0" w:after="100" w:line="264" w:lineRule="auto"/>
        <w:rPr>
          <w:rFonts w:ascii="Calibri" w:cs="Calibri" w:hAnsi="Calibri" w:eastAsia="Calibri"/>
          <w:sz w:val="22"/>
          <w:szCs w:val="22"/>
        </w:rPr>
      </w:pPr>
      <w:r>
        <w:rPr>
          <w:rFonts w:ascii="Calibri" w:hAnsi="Calibri"/>
          <w:sz w:val="22"/>
          <w:szCs w:val="22"/>
          <w:rtl w:val="0"/>
          <w:lang w:val="en-US"/>
        </w:rPr>
        <w:t>The project</w:t>
      </w:r>
      <w:r>
        <w:rPr>
          <w:rFonts w:ascii="Calibri" w:hAnsi="Calibri" w:hint="default"/>
          <w:sz w:val="22"/>
          <w:szCs w:val="22"/>
          <w:rtl w:val="1"/>
        </w:rPr>
        <w:t>’</w:t>
      </w:r>
      <w:r>
        <w:rPr>
          <w:rFonts w:ascii="Calibri" w:hAnsi="Calibri"/>
          <w:sz w:val="22"/>
          <w:szCs w:val="22"/>
          <w:rtl w:val="0"/>
          <w:lang w:val="en-US"/>
        </w:rPr>
        <w:t>s advocacy work was built on three layers of evidence: legal research, technical assessment, and community documentation. The legal study examined discrimination in environmental services between East and West Jerusalem, focusing on zoning and planning restrictions, discriminatory budget allocations, solid waste management, wastewater treatment, water availability and quality, and infrastructure.</w:t>
      </w:r>
    </w:p>
    <w:p>
      <w:pPr>
        <w:pStyle w:val="Default"/>
        <w:suppressAutoHyphens w:val="1"/>
        <w:spacing w:before="0" w:after="100" w:line="264" w:lineRule="auto"/>
        <w:rPr>
          <w:rFonts w:ascii="Calibri" w:cs="Calibri" w:hAnsi="Calibri" w:eastAsia="Calibri"/>
          <w:sz w:val="22"/>
          <w:szCs w:val="22"/>
        </w:rPr>
      </w:pPr>
      <w:r>
        <w:rPr>
          <w:rFonts w:ascii="Calibri" w:hAnsi="Calibri"/>
          <w:sz w:val="22"/>
          <w:szCs w:val="22"/>
          <w:rtl w:val="0"/>
          <w:lang w:val="en-US"/>
        </w:rPr>
        <w:t>The technical study added field-based evidence from the Old City, Silwan, Ras Al-Amoud, Al-Thouri, Al-Tur, Sur Baher, and Al-Isawiya. It relied on literature review, field visits, observation, surveys, resident testimonies, and case studies. Community evidence completed the picture through rapid-appraisal focus groups with community organizations, municipalities, and women</w:t>
      </w:r>
      <w:r>
        <w:rPr>
          <w:rFonts w:ascii="Calibri" w:hAnsi="Calibri" w:hint="default"/>
          <w:sz w:val="22"/>
          <w:szCs w:val="22"/>
          <w:rtl w:val="1"/>
        </w:rPr>
        <w:t>’</w:t>
      </w:r>
      <w:r>
        <w:rPr>
          <w:rFonts w:ascii="Calibri" w:hAnsi="Calibri"/>
          <w:sz w:val="22"/>
          <w:szCs w:val="22"/>
          <w:rtl w:val="0"/>
          <w:lang w:val="en-US"/>
        </w:rPr>
        <w:t>s groups. Together, these sources turned lived experience into a documented advocacy base.</w:t>
      </w:r>
    </w:p>
    <w:p>
      <w:pPr>
        <w:pStyle w:val="Default"/>
        <w:suppressAutoHyphens w:val="1"/>
        <w:spacing w:before="0" w:after="100" w:line="264" w:lineRule="auto"/>
        <w:rPr>
          <w:rFonts w:ascii="Calibri" w:cs="Calibri" w:hAnsi="Calibri" w:eastAsia="Calibri"/>
          <w:sz w:val="8"/>
          <w:szCs w:val="8"/>
        </w:rPr>
      </w:pPr>
    </w:p>
    <w:p>
      <w:pPr>
        <w:pStyle w:val="Default"/>
        <w:suppressAutoHyphens w:val="1"/>
        <w:spacing w:before="120" w:line="264" w:lineRule="auto"/>
        <w:rPr>
          <w:rFonts w:ascii="Calibri" w:cs="Calibri" w:hAnsi="Calibri" w:eastAsia="Calibri"/>
          <w:b w:val="1"/>
          <w:bCs w:val="1"/>
          <w:sz w:val="22"/>
          <w:szCs w:val="22"/>
        </w:rPr>
      </w:pPr>
      <w:r>
        <w:rPr>
          <w:rFonts w:ascii="Calibri" w:hAnsi="Calibri"/>
          <w:b w:val="1"/>
          <w:bCs w:val="1"/>
          <w:sz w:val="22"/>
          <w:szCs w:val="22"/>
          <w:rtl w:val="0"/>
          <w:lang w:val="it-IT"/>
        </w:rPr>
        <w:t>4.2 Participatory Governance</w:t>
      </w:r>
    </w:p>
    <w:p>
      <w:pPr>
        <w:pStyle w:val="Default"/>
        <w:suppressAutoHyphens w:val="1"/>
        <w:spacing w:before="0" w:after="100" w:line="264" w:lineRule="auto"/>
        <w:rPr>
          <w:rFonts w:ascii="Calibri" w:cs="Calibri" w:hAnsi="Calibri" w:eastAsia="Calibri"/>
          <w:sz w:val="22"/>
          <w:szCs w:val="22"/>
        </w:rPr>
      </w:pPr>
      <w:r>
        <w:rPr>
          <w:rFonts w:ascii="Calibri" w:hAnsi="Calibri"/>
          <w:sz w:val="22"/>
          <w:szCs w:val="22"/>
          <w:rtl w:val="0"/>
          <w:lang w:val="en-US"/>
        </w:rPr>
        <w:t>Participation was not treated as a formality. Community focus groups helped identify environmental challenges, priorities, and campaign directions. In schools, teachers and students discussed learning styles, environmental concerns, and proposed activities.</w:t>
      </w:r>
    </w:p>
    <w:p>
      <w:pPr>
        <w:pStyle w:val="Default"/>
        <w:suppressAutoHyphens w:val="1"/>
        <w:spacing w:before="0" w:after="100" w:line="264" w:lineRule="auto"/>
        <w:rPr>
          <w:rFonts w:ascii="Calibri" w:cs="Calibri" w:hAnsi="Calibri" w:eastAsia="Calibri"/>
          <w:sz w:val="22"/>
          <w:szCs w:val="22"/>
        </w:rPr>
      </w:pPr>
      <w:r>
        <w:rPr>
          <w:rFonts w:ascii="Calibri" w:hAnsi="Calibri"/>
          <w:sz w:val="22"/>
          <w:szCs w:val="22"/>
          <w:rtl w:val="0"/>
          <w:lang w:val="en-US"/>
        </w:rPr>
        <w:t>The project also held ten dialogue meetings with community leaders, women</w:t>
      </w:r>
      <w:r>
        <w:rPr>
          <w:rFonts w:ascii="Calibri" w:hAnsi="Calibri" w:hint="default"/>
          <w:sz w:val="22"/>
          <w:szCs w:val="22"/>
          <w:rtl w:val="1"/>
        </w:rPr>
        <w:t>’</w:t>
      </w:r>
      <w:r>
        <w:rPr>
          <w:rFonts w:ascii="Calibri" w:hAnsi="Calibri"/>
          <w:sz w:val="22"/>
          <w:szCs w:val="22"/>
          <w:rtl w:val="0"/>
          <w:lang w:val="en-US"/>
        </w:rPr>
        <w:t>s organizations, local businesses, and municipal representatives. An advisory committee of fifteen members met eight times to review study findings, define advocacy priorities, and propose policy recommendations for equitable service delivery. Business leaders also joined a dialogue platform on green and circular economy practices.</w:t>
      </w:r>
    </w:p>
    <w:p>
      <w:pPr>
        <w:pStyle w:val="Default"/>
        <w:suppressAutoHyphens w:val="1"/>
        <w:spacing w:before="0" w:after="100" w:line="264" w:lineRule="auto"/>
        <w:rPr>
          <w:rFonts w:ascii="Calibri" w:cs="Calibri" w:hAnsi="Calibri" w:eastAsia="Calibri"/>
          <w:sz w:val="22"/>
          <w:szCs w:val="22"/>
        </w:rPr>
      </w:pPr>
      <w:r>
        <w:rPr>
          <w:rFonts w:ascii="Calibri" w:hAnsi="Calibri"/>
          <w:sz w:val="22"/>
          <w:szCs w:val="22"/>
          <w:rtl w:val="0"/>
          <w:lang w:val="en-US"/>
        </w:rPr>
        <w:t>Accountability was linked to digital tools as well. A mobile application was planned for integration with PENGON</w:t>
      </w:r>
      <w:r>
        <w:rPr>
          <w:rFonts w:ascii="Calibri" w:hAnsi="Calibri" w:hint="default"/>
          <w:sz w:val="22"/>
          <w:szCs w:val="22"/>
          <w:rtl w:val="1"/>
        </w:rPr>
        <w:t>’</w:t>
      </w:r>
      <w:r>
        <w:rPr>
          <w:rFonts w:ascii="Calibri" w:hAnsi="Calibri"/>
          <w:sz w:val="22"/>
          <w:szCs w:val="22"/>
          <w:rtl w:val="0"/>
          <w:lang w:val="en-US"/>
        </w:rPr>
        <w:t>s Evidence-Based System, with intended features including evidence-based complaints, documented violations, statistics, reports, registration, incident tracking, offline data collection, Arabic/English interfaces, photo and video uploads, case tracking, dynamic reports, and a dashboard.</w:t>
      </w:r>
    </w:p>
    <w:p>
      <w:pPr>
        <w:pStyle w:val="Default"/>
        <w:suppressAutoHyphens w:val="1"/>
        <w:spacing w:before="0" w:after="100" w:line="264" w:lineRule="auto"/>
        <w:rPr>
          <w:rFonts w:ascii="Calibri" w:cs="Calibri" w:hAnsi="Calibri" w:eastAsia="Calibri"/>
          <w:sz w:val="8"/>
          <w:szCs w:val="8"/>
        </w:rPr>
      </w:pPr>
    </w:p>
    <w:p>
      <w:pPr>
        <w:pStyle w:val="Default"/>
        <w:suppressAutoHyphens w:val="1"/>
        <w:spacing w:before="120" w:line="264" w:lineRule="auto"/>
        <w:rPr>
          <w:rFonts w:ascii="Calibri" w:cs="Calibri" w:hAnsi="Calibri" w:eastAsia="Calibri"/>
          <w:b w:val="1"/>
          <w:bCs w:val="1"/>
          <w:sz w:val="22"/>
          <w:szCs w:val="22"/>
        </w:rPr>
      </w:pPr>
      <w:r>
        <w:rPr>
          <w:rFonts w:ascii="Calibri" w:hAnsi="Calibri"/>
          <w:b w:val="1"/>
          <w:bCs w:val="1"/>
          <w:sz w:val="22"/>
          <w:szCs w:val="22"/>
          <w:rtl w:val="0"/>
          <w:lang w:val="en-US"/>
        </w:rPr>
        <w:t>4.3 Rights-Based Environmental Justice</w:t>
      </w:r>
    </w:p>
    <w:p>
      <w:pPr>
        <w:pStyle w:val="Default"/>
        <w:suppressAutoHyphens w:val="1"/>
        <w:spacing w:before="0" w:after="100" w:line="264" w:lineRule="auto"/>
        <w:rPr>
          <w:rFonts w:ascii="Calibri" w:cs="Calibri" w:hAnsi="Calibri" w:eastAsia="Calibri"/>
          <w:sz w:val="22"/>
          <w:szCs w:val="22"/>
        </w:rPr>
      </w:pPr>
      <w:r>
        <w:rPr>
          <w:rFonts w:ascii="Calibri" w:hAnsi="Calibri"/>
          <w:sz w:val="22"/>
          <w:szCs w:val="22"/>
          <w:rtl w:val="0"/>
          <w:lang w:val="en-US"/>
        </w:rPr>
        <w:t>The legal study framed environmental discrimination through international humanitarian law, international human rights law, international criminal law, and the sustainable development agenda. It addressed non-discrimination, urban planning and land rights, the right to water, apartheid, forced displacement, residency rights, and the prohibition on altering the status and nature of occupied territory.</w:t>
      </w:r>
    </w:p>
    <w:p>
      <w:pPr>
        <w:pStyle w:val="Default"/>
        <w:suppressAutoHyphens w:val="1"/>
        <w:spacing w:before="0" w:after="100" w:line="264" w:lineRule="auto"/>
        <w:rPr>
          <w:rFonts w:ascii="Calibri" w:cs="Calibri" w:hAnsi="Calibri" w:eastAsia="Calibri"/>
          <w:sz w:val="22"/>
          <w:szCs w:val="22"/>
        </w:rPr>
      </w:pPr>
      <w:r>
        <w:rPr>
          <w:rFonts w:ascii="Calibri" w:hAnsi="Calibri"/>
          <w:sz w:val="22"/>
          <w:szCs w:val="22"/>
          <w:rtl w:val="0"/>
          <w:lang w:val="en-US"/>
        </w:rPr>
        <w:t>Seminars translated this legal framing into community capacity-building, introducing leaders, activists, and legal experts to environmental justice, documentation of violations, legal channels, and public campaigns.</w:t>
      </w:r>
    </w:p>
    <w:p>
      <w:pPr>
        <w:pStyle w:val="Default"/>
        <w:suppressAutoHyphens w:val="1"/>
        <w:spacing w:before="0" w:after="100" w:line="264" w:lineRule="auto"/>
        <w:rPr>
          <w:rFonts w:ascii="Calibri" w:cs="Calibri" w:hAnsi="Calibri" w:eastAsia="Calibri"/>
          <w:sz w:val="8"/>
          <w:szCs w:val="8"/>
        </w:rPr>
      </w:pPr>
    </w:p>
    <w:p>
      <w:pPr>
        <w:pStyle w:val="Default"/>
        <w:suppressAutoHyphens w:val="1"/>
        <w:spacing w:before="120" w:line="264" w:lineRule="auto"/>
        <w:rPr>
          <w:rFonts w:ascii="Calibri" w:cs="Calibri" w:hAnsi="Calibri" w:eastAsia="Calibri"/>
          <w:b w:val="1"/>
          <w:bCs w:val="1"/>
          <w:sz w:val="22"/>
          <w:szCs w:val="22"/>
        </w:rPr>
      </w:pPr>
      <w:r>
        <w:rPr>
          <w:rFonts w:ascii="Calibri" w:hAnsi="Calibri"/>
          <w:b w:val="1"/>
          <w:bCs w:val="1"/>
          <w:sz w:val="22"/>
          <w:szCs w:val="22"/>
          <w:rtl w:val="0"/>
          <w:lang w:val="en-US"/>
        </w:rPr>
        <w:t>4.4 The No Plastic Campaign</w:t>
      </w:r>
    </w:p>
    <w:p>
      <w:pPr>
        <w:pStyle w:val="Default"/>
        <w:suppressAutoHyphens w:val="1"/>
        <w:spacing w:before="0" w:after="100" w:line="264" w:lineRule="auto"/>
        <w:rPr>
          <w:rFonts w:ascii="Calibri" w:cs="Calibri" w:hAnsi="Calibri" w:eastAsia="Calibri"/>
          <w:sz w:val="22"/>
          <w:szCs w:val="22"/>
        </w:rPr>
      </w:pPr>
      <w:r>
        <w:rPr>
          <w:rFonts w:ascii="Calibri" w:hAnsi="Calibri"/>
          <w:sz w:val="22"/>
          <w:szCs w:val="22"/>
          <w:rtl w:val="0"/>
          <w:lang w:val="en-US"/>
        </w:rPr>
        <w:t>The No Plastic Campaign made advocacy visible in daily life. It brought together policy discussion, awareness, private-sector engagement, and direct outreach. A consultative workshop examined plastic pollution and alternatives to single-use plastics with public-sector, private-sector, academic, and civil-society participants.</w:t>
      </w:r>
    </w:p>
    <w:p>
      <w:pPr>
        <w:pStyle w:val="Default"/>
        <w:suppressAutoHyphens w:val="1"/>
        <w:spacing w:before="0" w:after="100" w:line="264" w:lineRule="auto"/>
      </w:pPr>
      <w:r>
        <w:rPr>
          <w:rFonts w:ascii="Calibri" w:hAnsi="Calibri"/>
          <w:sz w:val="22"/>
          <w:szCs w:val="22"/>
          <w:rtl w:val="0"/>
          <w:lang w:val="en-US"/>
        </w:rPr>
        <w:t xml:space="preserve">The campaign used reusable cloth bags, flyers, posters, eco-friendly materials, and the video </w:t>
      </w:r>
      <w:r>
        <w:rPr>
          <w:rFonts w:ascii="Calibri" w:hAnsi="Calibri" w:hint="default"/>
          <w:sz w:val="22"/>
          <w:szCs w:val="22"/>
          <w:rtl w:val="1"/>
          <w:lang w:val="ar-SA" w:bidi="ar-SA"/>
        </w:rPr>
        <w:t>“</w:t>
      </w:r>
      <w:r>
        <w:rPr>
          <w:rFonts w:ascii="Calibri" w:hAnsi="Calibri"/>
          <w:sz w:val="22"/>
          <w:szCs w:val="22"/>
          <w:rtl w:val="0"/>
          <w:lang w:val="en-US"/>
        </w:rPr>
        <w:t>Ending Plastic Pollution.</w:t>
      </w:r>
      <w:r>
        <w:rPr>
          <w:rFonts w:ascii="Calibri" w:hAnsi="Calibri" w:hint="default"/>
          <w:sz w:val="22"/>
          <w:szCs w:val="22"/>
          <w:rtl w:val="0"/>
        </w:rPr>
        <w:t xml:space="preserve">” </w:t>
      </w:r>
      <w:r>
        <w:rPr>
          <w:rFonts w:ascii="Calibri" w:hAnsi="Calibri"/>
          <w:sz w:val="22"/>
          <w:szCs w:val="22"/>
          <w:rtl w:val="0"/>
          <w:lang w:val="en-US"/>
        </w:rPr>
        <w:t>Youth volunteers distributed 900 cloth bags across the Old City, Al-Ayzareh, and Al-Ram, encouraging merchants to reduce single-use plastic and adopt durable alternatives.</w:t>
      </w:r>
      <w:r>
        <w:rPr>
          <w:rFonts w:ascii="Arial Unicode MS" w:cs="Arial Unicode MS" w:hAnsi="Arial Unicode MS" w:eastAsia="Arial Unicode MS"/>
          <w:b w:val="0"/>
          <w:bCs w:val="0"/>
          <w:i w:val="0"/>
          <w:iCs w:val="0"/>
          <w:sz w:val="22"/>
          <w:szCs w:val="22"/>
        </w:rPr>
        <w:br w:type="page"/>
      </w:r>
    </w:p>
    <w:p>
      <w:pPr>
        <w:pStyle w:val="Default"/>
        <w:suppressAutoHyphens w:val="1"/>
        <w:spacing w:before="0" w:after="100" w:line="264" w:lineRule="auto"/>
        <w:rPr>
          <w:rFonts w:ascii="Calibri" w:cs="Calibri" w:hAnsi="Calibri" w:eastAsia="Calibri"/>
          <w:b w:val="1"/>
          <w:bCs w:val="1"/>
          <w:outline w:val="0"/>
          <w:color w:val="00ab8e"/>
          <w:sz w:val="34"/>
          <w:szCs w:val="34"/>
          <w14:textFill>
            <w14:solidFill>
              <w14:srgbClr w14:val="00AB8E"/>
            </w14:solidFill>
          </w14:textFill>
        </w:rPr>
      </w:pPr>
      <w:r>
        <w:rPr>
          <w:rFonts w:ascii="Calibri" w:hAnsi="Calibri"/>
          <w:b w:val="1"/>
          <w:bCs w:val="1"/>
          <w:outline w:val="0"/>
          <w:color w:val="00ab8e"/>
          <w:sz w:val="34"/>
          <w:szCs w:val="34"/>
          <w:rtl w:val="0"/>
          <w:lang w:val="en-US"/>
          <w14:textFill>
            <w14:solidFill>
              <w14:srgbClr w14:val="00AB8E"/>
            </w14:solidFill>
          </w14:textFill>
        </w:rPr>
        <w:t>5. Outcomes</w:t>
      </w:r>
    </w:p>
    <w:p>
      <w:pPr>
        <w:pStyle w:val="Default"/>
        <w:suppressAutoHyphens w:val="1"/>
        <w:spacing w:before="120" w:line="264" w:lineRule="auto"/>
        <w:rPr>
          <w:rFonts w:ascii="Calibri" w:cs="Calibri" w:hAnsi="Calibri" w:eastAsia="Calibri"/>
          <w:b w:val="1"/>
          <w:bCs w:val="1"/>
          <w:outline w:val="0"/>
          <w:color w:val="00ab8e"/>
          <w14:textFill>
            <w14:solidFill>
              <w14:srgbClr w14:val="00AB8E"/>
            </w14:solidFill>
          </w14:textFill>
        </w:rPr>
      </w:pPr>
      <w:r>
        <w:rPr>
          <w:rFonts w:ascii="Calibri" w:hAnsi="Calibri"/>
          <w:b w:val="1"/>
          <w:bCs w:val="1"/>
          <w:outline w:val="0"/>
          <w:color w:val="00ab8e"/>
          <w:rtl w:val="0"/>
          <w:lang w:val="en-US"/>
          <w14:textFill>
            <w14:solidFill>
              <w14:srgbClr w14:val="00AB8E"/>
            </w14:solidFill>
          </w14:textFill>
        </w:rPr>
        <w:t>From Knowledge to Practice, Systems, and Continuity</w:t>
      </w:r>
    </w:p>
    <w:p>
      <w:pPr>
        <w:pStyle w:val="Default"/>
        <w:suppressAutoHyphens w:val="1"/>
        <w:spacing w:before="120" w:line="264" w:lineRule="auto"/>
        <w:rPr>
          <w:rFonts w:ascii="Calibri" w:cs="Calibri" w:hAnsi="Calibri" w:eastAsia="Calibri"/>
          <w:b w:val="1"/>
          <w:bCs w:val="1"/>
          <w:sz w:val="22"/>
          <w:szCs w:val="22"/>
        </w:rPr>
      </w:pPr>
    </w:p>
    <w:p>
      <w:pPr>
        <w:pStyle w:val="Default"/>
        <w:suppressAutoHyphens w:val="1"/>
        <w:spacing w:before="0" w:after="100" w:line="264" w:lineRule="auto"/>
        <w:rPr>
          <w:rFonts w:ascii="Calibri" w:cs="Calibri" w:hAnsi="Calibri" w:eastAsia="Calibri"/>
          <w:sz w:val="22"/>
          <w:szCs w:val="22"/>
        </w:rPr>
      </w:pPr>
      <w:r>
        <w:rPr>
          <w:rFonts w:ascii="Calibri" w:hAnsi="Calibri"/>
          <w:sz w:val="22"/>
          <w:szCs w:val="22"/>
          <w:rtl w:val="0"/>
          <w:lang w:val="en-US"/>
        </w:rPr>
        <w:t xml:space="preserve">The outcomes of the </w:t>
      </w:r>
      <w:r>
        <w:rPr>
          <w:rFonts w:ascii="Calibri" w:hAnsi="Calibri" w:hint="default"/>
          <w:sz w:val="22"/>
          <w:szCs w:val="22"/>
          <w:rtl w:val="1"/>
          <w:lang w:val="ar-SA" w:bidi="ar-SA"/>
        </w:rPr>
        <w:t>“</w:t>
      </w:r>
      <w:r>
        <w:rPr>
          <w:rFonts w:ascii="Calibri" w:hAnsi="Calibri"/>
          <w:sz w:val="22"/>
          <w:szCs w:val="22"/>
          <w:rtl w:val="0"/>
          <w:lang w:val="en-US"/>
        </w:rPr>
        <w:t>Drivers of Change</w:t>
      </w:r>
      <w:r>
        <w:rPr>
          <w:rFonts w:ascii="Calibri" w:hAnsi="Calibri" w:hint="default"/>
          <w:sz w:val="22"/>
          <w:szCs w:val="22"/>
          <w:rtl w:val="0"/>
        </w:rPr>
        <w:t xml:space="preserve">” </w:t>
      </w:r>
      <w:r>
        <w:rPr>
          <w:rFonts w:ascii="Calibri" w:hAnsi="Calibri"/>
          <w:sz w:val="22"/>
          <w:szCs w:val="22"/>
          <w:rtl w:val="0"/>
          <w:lang w:val="en-US"/>
        </w:rPr>
        <w:t>project appear in the movement from awareness to action. The project did not stop at delivering workshops or producing studies. It helped people understand environmental injustice, practice new skills, build visible systems in schools and communities, and prepare tools that can support continued learning and accountability.</w:t>
      </w:r>
    </w:p>
    <w:p>
      <w:pPr>
        <w:pStyle w:val="Default"/>
        <w:suppressAutoHyphens w:val="1"/>
        <w:spacing w:before="0" w:after="100" w:line="264" w:lineRule="auto"/>
        <w:rPr>
          <w:rFonts w:ascii="Calibri" w:cs="Calibri" w:hAnsi="Calibri" w:eastAsia="Calibri"/>
          <w:sz w:val="8"/>
          <w:szCs w:val="8"/>
        </w:rPr>
      </w:pPr>
    </w:p>
    <w:p>
      <w:pPr>
        <w:pStyle w:val="Default"/>
        <w:suppressAutoHyphens w:val="1"/>
        <w:spacing w:before="120" w:line="264" w:lineRule="auto"/>
        <w:rPr>
          <w:rFonts w:ascii="Calibri" w:cs="Calibri" w:hAnsi="Calibri" w:eastAsia="Calibri"/>
          <w:b w:val="1"/>
          <w:bCs w:val="1"/>
          <w:sz w:val="22"/>
          <w:szCs w:val="22"/>
        </w:rPr>
      </w:pPr>
      <w:r>
        <w:rPr>
          <w:rFonts w:ascii="Calibri" w:hAnsi="Calibri"/>
          <w:b w:val="1"/>
          <w:bCs w:val="1"/>
          <w:sz w:val="22"/>
          <w:szCs w:val="22"/>
          <w:rtl w:val="0"/>
          <w:lang w:val="en-US"/>
        </w:rPr>
        <w:t>5.1 Knowledge</w:t>
      </w:r>
    </w:p>
    <w:p>
      <w:pPr>
        <w:pStyle w:val="Default"/>
        <w:suppressAutoHyphens w:val="1"/>
        <w:spacing w:before="0" w:after="100" w:line="264" w:lineRule="auto"/>
        <w:rPr>
          <w:rFonts w:ascii="Calibri" w:cs="Calibri" w:hAnsi="Calibri" w:eastAsia="Calibri"/>
          <w:sz w:val="22"/>
          <w:szCs w:val="22"/>
        </w:rPr>
      </w:pPr>
      <w:r>
        <w:rPr>
          <w:rFonts w:ascii="Calibri" w:hAnsi="Calibri"/>
          <w:sz w:val="22"/>
          <w:szCs w:val="22"/>
          <w:rtl w:val="0"/>
          <w:lang w:val="en-US"/>
        </w:rPr>
        <w:t>The project expanded environmental knowledge among women, youth, teachers, students, community members, and local institutions. At community level, nine workshops reached 147 participants: 55 women in plastic-bag upcycling, 59 women in zero-waste workshops, 21 women in a Silwan awareness workshop, and 12 youth participants in Silwan. Another six awareness workshops reached 97 participants in Bethany, the Old City, Al-Suwaneh, and Shu</w:t>
      </w:r>
      <w:r>
        <w:rPr>
          <w:rFonts w:ascii="Calibri" w:hAnsi="Calibri" w:hint="default"/>
          <w:sz w:val="22"/>
          <w:szCs w:val="22"/>
          <w:rtl w:val="1"/>
        </w:rPr>
        <w:t>’</w:t>
      </w:r>
      <w:r>
        <w:rPr>
          <w:rFonts w:ascii="Calibri" w:hAnsi="Calibri"/>
          <w:sz w:val="22"/>
          <w:szCs w:val="22"/>
          <w:rtl w:val="0"/>
        </w:rPr>
        <w:t>fat Camp.</w:t>
      </w:r>
    </w:p>
    <w:p>
      <w:pPr>
        <w:pStyle w:val="Default"/>
        <w:suppressAutoHyphens w:val="1"/>
        <w:spacing w:before="0" w:after="100" w:line="264" w:lineRule="auto"/>
        <w:rPr>
          <w:rFonts w:ascii="Calibri" w:cs="Calibri" w:hAnsi="Calibri" w:eastAsia="Calibri"/>
          <w:sz w:val="22"/>
          <w:szCs w:val="22"/>
        </w:rPr>
      </w:pPr>
      <w:r>
        <w:rPr>
          <w:rFonts w:ascii="Calibri" w:hAnsi="Calibri"/>
          <w:sz w:val="22"/>
          <w:szCs w:val="22"/>
          <w:rtl w:val="0"/>
          <w:lang w:val="en-US"/>
        </w:rPr>
        <w:t>These sessions addressed plastic pollution, solid waste, zero-waste practices, composting, natural alternatives, ecological agriculture, carbon footprint, climate change, and individual environmental responsibility. The project also produced legal and technical knowledge, documenting service discrimination, infrastructure gaps, zoning and planning restrictions, budget disparities, water and wastewater issues, and environmental-rights violations.</w:t>
      </w:r>
    </w:p>
    <w:p>
      <w:pPr>
        <w:pStyle w:val="Default"/>
        <w:suppressAutoHyphens w:val="1"/>
        <w:spacing w:before="0" w:after="100" w:line="264" w:lineRule="auto"/>
        <w:rPr>
          <w:rFonts w:ascii="Calibri" w:cs="Calibri" w:hAnsi="Calibri" w:eastAsia="Calibri"/>
          <w:sz w:val="8"/>
          <w:szCs w:val="8"/>
        </w:rPr>
      </w:pPr>
    </w:p>
    <w:p>
      <w:pPr>
        <w:pStyle w:val="Default"/>
        <w:suppressAutoHyphens w:val="1"/>
        <w:spacing w:before="120" w:line="264" w:lineRule="auto"/>
        <w:rPr>
          <w:rFonts w:ascii="Calibri" w:cs="Calibri" w:hAnsi="Calibri" w:eastAsia="Calibri"/>
          <w:b w:val="1"/>
          <w:bCs w:val="1"/>
          <w:sz w:val="22"/>
          <w:szCs w:val="22"/>
        </w:rPr>
      </w:pPr>
      <w:r>
        <w:rPr>
          <w:rFonts w:ascii="Calibri" w:hAnsi="Calibri"/>
          <w:b w:val="1"/>
          <w:bCs w:val="1"/>
          <w:sz w:val="22"/>
          <w:szCs w:val="22"/>
          <w:rtl w:val="0"/>
        </w:rPr>
        <w:t>5.2 Practice</w:t>
      </w:r>
    </w:p>
    <w:p>
      <w:pPr>
        <w:pStyle w:val="Default"/>
        <w:suppressAutoHyphens w:val="1"/>
        <w:spacing w:before="0" w:after="100" w:line="264" w:lineRule="auto"/>
        <w:rPr>
          <w:rFonts w:ascii="Calibri" w:cs="Calibri" w:hAnsi="Calibri" w:eastAsia="Calibri"/>
          <w:sz w:val="22"/>
          <w:szCs w:val="22"/>
        </w:rPr>
      </w:pPr>
      <w:r>
        <w:rPr>
          <w:rFonts w:ascii="Calibri" w:hAnsi="Calibri"/>
          <w:sz w:val="22"/>
          <w:szCs w:val="22"/>
          <w:rtl w:val="0"/>
          <w:lang w:val="en-US"/>
        </w:rPr>
        <w:t>Knowledge became practical when participants began working with the materials and habits of everyday life. Women learned to reduce household waste, reuse food scraps and old clothing, conserve water and resources, reduce plastic and toxic household tools, prepare natural alternatives such as sanitizers and deodorants, and begin composting.</w:t>
      </w:r>
    </w:p>
    <w:p>
      <w:pPr>
        <w:pStyle w:val="Default"/>
        <w:suppressAutoHyphens w:val="1"/>
        <w:spacing w:before="0" w:after="100" w:line="264" w:lineRule="auto"/>
        <w:rPr>
          <w:rFonts w:ascii="Calibri" w:cs="Calibri" w:hAnsi="Calibri" w:eastAsia="Calibri"/>
          <w:sz w:val="22"/>
          <w:szCs w:val="22"/>
        </w:rPr>
      </w:pPr>
      <w:r>
        <w:rPr>
          <w:rFonts w:ascii="Calibri" w:hAnsi="Calibri"/>
          <w:sz w:val="22"/>
          <w:szCs w:val="22"/>
          <w:rtl w:val="0"/>
          <w:lang w:val="en-US"/>
        </w:rPr>
        <w:t>Plastic-bag upcycling gave 55 women in Shu</w:t>
      </w:r>
      <w:r>
        <w:rPr>
          <w:rFonts w:ascii="Calibri" w:hAnsi="Calibri" w:hint="default"/>
          <w:sz w:val="22"/>
          <w:szCs w:val="22"/>
          <w:rtl w:val="1"/>
        </w:rPr>
        <w:t>’</w:t>
      </w:r>
      <w:r>
        <w:rPr>
          <w:rFonts w:ascii="Calibri" w:hAnsi="Calibri"/>
          <w:sz w:val="22"/>
          <w:szCs w:val="22"/>
          <w:rtl w:val="0"/>
          <w:lang w:val="en-US"/>
        </w:rPr>
        <w:t>fat Camp, Al-Ram, and Bethany a direct recycling skill: collecting bags, cleaning them, cutting them into strips, twisting them into thread, and weaving useful products. Wood-pallet reuse turned discarded materials into foldable tables, shelves, murals, decorative logos, planters, and storage tables. Composting also moved from concept to practice, with five families in Al-Ram receiving household composting units and maintenance guidance.</w:t>
      </w:r>
    </w:p>
    <w:p>
      <w:pPr>
        <w:pStyle w:val="Default"/>
        <w:suppressAutoHyphens w:val="1"/>
        <w:spacing w:before="0" w:after="100" w:line="264" w:lineRule="auto"/>
        <w:rPr>
          <w:rFonts w:ascii="Calibri" w:cs="Calibri" w:hAnsi="Calibri" w:eastAsia="Calibri"/>
          <w:sz w:val="8"/>
          <w:szCs w:val="8"/>
        </w:rPr>
      </w:pPr>
    </w:p>
    <w:p>
      <w:pPr>
        <w:pStyle w:val="Default"/>
        <w:suppressAutoHyphens w:val="1"/>
        <w:spacing w:before="120" w:line="264" w:lineRule="auto"/>
        <w:rPr>
          <w:rFonts w:ascii="Calibri" w:cs="Calibri" w:hAnsi="Calibri" w:eastAsia="Calibri"/>
          <w:b w:val="1"/>
          <w:bCs w:val="1"/>
          <w:sz w:val="22"/>
          <w:szCs w:val="22"/>
        </w:rPr>
      </w:pPr>
      <w:r>
        <w:rPr>
          <w:rFonts w:ascii="Calibri" w:hAnsi="Calibri"/>
          <w:b w:val="1"/>
          <w:bCs w:val="1"/>
          <w:sz w:val="22"/>
          <w:szCs w:val="22"/>
          <w:rtl w:val="0"/>
          <w:lang w:val="en-US"/>
        </w:rPr>
        <w:t>5.3 Systems</w:t>
      </w:r>
    </w:p>
    <w:p>
      <w:pPr>
        <w:pStyle w:val="Default"/>
        <w:suppressAutoHyphens w:val="1"/>
        <w:spacing w:before="0" w:after="100" w:line="264" w:lineRule="auto"/>
        <w:rPr>
          <w:rFonts w:ascii="Calibri" w:cs="Calibri" w:hAnsi="Calibri" w:eastAsia="Calibri"/>
          <w:sz w:val="22"/>
          <w:szCs w:val="22"/>
        </w:rPr>
      </w:pPr>
      <w:r>
        <w:rPr>
          <w:rFonts w:ascii="Calibri" w:hAnsi="Calibri"/>
          <w:sz w:val="22"/>
          <w:szCs w:val="22"/>
          <w:rtl w:val="0"/>
          <w:lang w:val="en-US"/>
        </w:rPr>
        <w:t>The project created systems that can continue after the activity cycle. In schools, the Terra Santa pilot in the Old City introduced a raised herbal garden bed, a compost tumbler, and an aquaponic NFT green wall system. Students took part in soil preparation, planting, compost training, and aquaponics learning.</w:t>
      </w:r>
    </w:p>
    <w:p>
      <w:pPr>
        <w:pStyle w:val="Default"/>
        <w:suppressAutoHyphens w:val="1"/>
        <w:spacing w:before="0" w:after="100" w:line="264" w:lineRule="auto"/>
        <w:rPr>
          <w:rFonts w:ascii="Calibri" w:cs="Calibri" w:hAnsi="Calibri" w:eastAsia="Calibri"/>
          <w:sz w:val="22"/>
          <w:szCs w:val="22"/>
        </w:rPr>
      </w:pPr>
      <w:r>
        <w:rPr>
          <w:rFonts w:ascii="Calibri" w:hAnsi="Calibri"/>
          <w:sz w:val="22"/>
          <w:szCs w:val="22"/>
          <w:rtl w:val="0"/>
          <w:lang w:val="en-US"/>
        </w:rPr>
        <w:t>The rollout model for the remaining schools standardized one raised herbal garden or green wall, one compost tumbler, and one aquaponic NFT green wall system. Environmental education kits also supported learning after field visits were cancelled in late 2024.</w:t>
      </w:r>
    </w:p>
    <w:p>
      <w:pPr>
        <w:pStyle w:val="Default"/>
        <w:suppressAutoHyphens w:val="1"/>
        <w:spacing w:before="0" w:after="100" w:line="264" w:lineRule="auto"/>
        <w:rPr>
          <w:rFonts w:ascii="Calibri" w:cs="Calibri" w:hAnsi="Calibri" w:eastAsia="Calibri"/>
          <w:sz w:val="8"/>
          <w:szCs w:val="8"/>
        </w:rPr>
      </w:pPr>
    </w:p>
    <w:p>
      <w:pPr>
        <w:pStyle w:val="Default"/>
        <w:suppressAutoHyphens w:val="1"/>
        <w:spacing w:before="120" w:line="264" w:lineRule="auto"/>
        <w:rPr>
          <w:rFonts w:ascii="Calibri" w:cs="Calibri" w:hAnsi="Calibri" w:eastAsia="Calibri"/>
          <w:b w:val="1"/>
          <w:bCs w:val="1"/>
          <w:sz w:val="22"/>
          <w:szCs w:val="22"/>
        </w:rPr>
      </w:pPr>
      <w:r>
        <w:rPr>
          <w:rFonts w:ascii="Calibri" w:hAnsi="Calibri"/>
          <w:b w:val="1"/>
          <w:bCs w:val="1"/>
          <w:sz w:val="22"/>
          <w:szCs w:val="22"/>
          <w:rtl w:val="0"/>
          <w:lang w:val="it-IT"/>
        </w:rPr>
        <w:t>5.4 Continuity</w:t>
      </w:r>
    </w:p>
    <w:p>
      <w:pPr>
        <w:pStyle w:val="Default"/>
        <w:suppressAutoHyphens w:val="1"/>
        <w:spacing w:before="0" w:after="100" w:line="264" w:lineRule="auto"/>
        <w:rPr>
          <w:rFonts w:ascii="Calibri" w:cs="Calibri" w:hAnsi="Calibri" w:eastAsia="Calibri"/>
          <w:sz w:val="22"/>
          <w:szCs w:val="22"/>
        </w:rPr>
      </w:pPr>
      <w:r>
        <w:rPr>
          <w:rFonts w:ascii="Calibri" w:hAnsi="Calibri"/>
          <w:sz w:val="22"/>
          <w:szCs w:val="22"/>
          <w:rtl w:val="0"/>
          <w:lang w:val="en-US"/>
        </w:rPr>
        <w:t>Continuity appeared in repeated requests for longer sessions and more practical training in recycling, agriculture, composting, gardening, and product-making. In schools, it was supported through environmental clubs, teacher capacity-building, education kits, and the standardized installation model.</w:t>
      </w:r>
    </w:p>
    <w:p>
      <w:pPr>
        <w:pStyle w:val="Default"/>
        <w:suppressAutoHyphens w:val="1"/>
        <w:spacing w:before="0" w:after="100" w:line="264" w:lineRule="auto"/>
      </w:pPr>
      <w:r>
        <w:rPr>
          <w:rFonts w:ascii="Calibri" w:hAnsi="Calibri"/>
          <w:sz w:val="22"/>
          <w:szCs w:val="22"/>
          <w:rtl w:val="0"/>
          <w:lang w:val="en-US"/>
        </w:rPr>
        <w:t>Two planned tools strengthen this direction: an interactive online platform for lesson plans, videos, quizzes, games, and modules; and a mobile application connected to PENGON</w:t>
      </w:r>
      <w:r>
        <w:rPr>
          <w:rFonts w:ascii="Calibri" w:hAnsi="Calibri" w:hint="default"/>
          <w:sz w:val="22"/>
          <w:szCs w:val="22"/>
          <w:rtl w:val="1"/>
        </w:rPr>
        <w:t>’</w:t>
      </w:r>
      <w:r>
        <w:rPr>
          <w:rFonts w:ascii="Calibri" w:hAnsi="Calibri"/>
          <w:sz w:val="22"/>
          <w:szCs w:val="22"/>
          <w:rtl w:val="0"/>
          <w:lang w:val="en-US"/>
        </w:rPr>
        <w:t>s Evidence-Based System for complaints, documentation, statistics, reports, case tracking, photo and video uploads, and dashboards.</w:t>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4819"/>
        <w:tab w:val="right" w:pos="9638"/>
        <w:tab w:val="clear" w:pos="9020"/>
      </w:tabs>
      <w:jc w:val="left"/>
    </w:pPr>
    <w:r>
      <w:rPr>
        <w:sz w:val="18"/>
        <w:szCs w:val="18"/>
      </w:rPr>
      <w:tab/>
    </w:r>
    <w:r>
      <w:rPr>
        <w:sz w:val="18"/>
        <w:szCs w:val="18"/>
      </w:rPr>
      <w:fldChar w:fldCharType="begin" w:fldLock="0"/>
    </w:r>
    <w:r>
      <w:rPr>
        <w:sz w:val="18"/>
        <w:szCs w:val="18"/>
      </w:rPr>
      <w:instrText xml:space="preserve"> PAGE </w:instrText>
    </w:r>
    <w:r>
      <w:rPr>
        <w:sz w:val="18"/>
        <w:szCs w:val="18"/>
      </w:rPr>
      <w:fldChar w:fldCharType="separate" w:fldLock="0"/>
    </w:r>
    <w:r>
      <w:rPr>
        <w:sz w:val="18"/>
        <w:szCs w:val="18"/>
      </w:rPr>
    </w:r>
    <w:r>
      <w:rPr>
        <w:sz w:val="18"/>
        <w:szCs w:val="18"/>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hint="default"/>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