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05" w:rsidRPr="009E4505" w:rsidRDefault="00DB3605" w:rsidP="00DB3605">
      <w:pPr>
        <w:spacing w:after="0" w:line="390" w:lineRule="atLeast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</w:pP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Ретопология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. Данный материал не имеет непосредственного отношения к этапам проектирования сети, однако информация, приведённая здесь, крайне полезна при выборе топологии и процента проникновения будущей сети. Под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ретопологией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мы будем понимать процесс изменения топологии сети для увеличения абонентской базы. Тем провайдерам, которые сразу проектируют сети под 100% проникновение, данный раздел будет не интересен, т.к.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ретопология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их сетям со временем не понадобится. Однако для большинства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PON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провайдеров, которые не могут позволить себе такую роскошь, как 100% охват абонентов. Есть посёлок на 512 домов, из которых провайдер хочет подключить 50% – 256 домов. В качестве головной станции был выбран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OLT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на 4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EPON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порта (коэффициент ветвления 1:64), из которых задействуются все 4. Ниже представлена упрощённая схема сети через пару месяцев после запуска, на схеме отображены только 2 поддерева из 4). Для проекта выбраны 2 древовидные топологии: «1х16+1х4» (первое поддерево) и «1х2+1х8+1х4» (второе поддерево). Это сделано специально, чтобы в последствии определить, какой из вариантов лучше подходит для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(упрощённая схема проекта с указанием количества подключённых к каждому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сплиттеру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абонентов).</w:t>
      </w:r>
    </w:p>
    <w:p w:rsidR="00DB3605" w:rsidRPr="009E4505" w:rsidRDefault="00DB3605" w:rsidP="00DB3605">
      <w:pPr>
        <w:spacing w:after="0" w:line="390" w:lineRule="atLeast"/>
        <w:jc w:val="center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</w:pPr>
      <w:r w:rsidRPr="009E4505">
        <w:rPr>
          <w:rFonts w:ascii="Palatino Linotype" w:eastAsia="Times New Roman" w:hAnsi="Palatino Linotype" w:cs="Times New Roman"/>
          <w:color w:val="000000"/>
          <w:sz w:val="26"/>
          <w:szCs w:val="26"/>
          <w:lang w:val="en-US"/>
        </w:rPr>
        <w:drawing>
          <wp:inline distT="0" distB="0" distL="0" distR="0" wp14:anchorId="47178352" wp14:editId="6C15B1A2">
            <wp:extent cx="5932920" cy="3413021"/>
            <wp:effectExtent l="0" t="0" r="0" b="0"/>
            <wp:docPr id="123" name="Рисунок 123" descr="http://compnet.pp.ua/images/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ompnet.pp.ua/images/0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38" cy="34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05" w:rsidRPr="009E4505" w:rsidRDefault="00DB3605" w:rsidP="00DB3605">
      <w:pPr>
        <w:spacing w:after="0" w:line="390" w:lineRule="atLeast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</w:pP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На каждом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сплиттере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указано количество подключённых к нему абонентов, из чего видно, что абоненты разбросаны по карте достаточно хаотично: некоторые абонентские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сплиттеры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заняты полностью, а к некоторым не подключен ни один абонент. Если в секторе, который обслуживается полностью заполненным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lastRenderedPageBreak/>
        <w:t>сплиттером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1х4, появятся новые клиенты, то провайдер столкнётся с проблемой: с одной стороны, 64 абонентов на порту ещё нет, поэтому подключать новых абонентов можно, а с другой стороны, – некуда (все выходы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сплиттера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заняты). У провайдера есть 2 пути выхода из положения. Если динамика роста абонентской базы высокая (другими словами, если много заявок на подключение), то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сети не избежать. Если же заявок мало и в ближайшее время приток новых абонентов не предвидится, то можно обойтись без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. Рекомендовано – установить абонентский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большей ёмкости. В нашем случае, если абонентский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1х4 занят, то его можно заменить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сплиттером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1х8. Обращаю внимание – такой заменой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мы делим сигнал на 128 (1х16+1х8). Данный метод необходимо применять с большой осторожностью. Использование каскада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с делением на 128 может пагубно отразиться на мощности сигнала: оптический бюджет потерь может превысить оптический бюджет мощности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PON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(30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dB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). В этом случае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ONU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будут работать не стабильно или не будут работать вообще. Примечание: данный метод рекомендуется использовать только опытным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PON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-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щикам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которые отдают себе отчёт в том, что сигнал, приходящий на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ONU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должен быть в худшем случае -26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dBm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, но никак не меньше. Некоторые провайдеры, не смотря на предостережения, сразу делят поддеревья на 128 узлов, предвидя сильный разброс абонентов. Такой метод получил название «разведка строительства» (упрощённая схема проекта с указанием количества подключённых абонентов (метод «Разведка строительства»)).</w:t>
      </w:r>
    </w:p>
    <w:p w:rsidR="00DB3605" w:rsidRPr="009E4505" w:rsidRDefault="00DB3605" w:rsidP="00DB3605">
      <w:pPr>
        <w:spacing w:after="0" w:line="390" w:lineRule="atLeast"/>
        <w:jc w:val="center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</w:pPr>
      <w:r w:rsidRPr="009E4505">
        <w:rPr>
          <w:rFonts w:ascii="Palatino Linotype" w:eastAsia="Times New Roman" w:hAnsi="Palatino Linotype" w:cs="Times New Roman"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174C93AF" wp14:editId="6FCA4F8D">
            <wp:extent cx="6026900" cy="3458068"/>
            <wp:effectExtent l="0" t="0" r="0" b="9525"/>
            <wp:docPr id="122" name="Рисунок 122" descr="http://compnet.pp.ua/images/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ompnet.pp.ua/images/0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03" cy="346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05" w:rsidRPr="009E4505" w:rsidRDefault="00DB3605" w:rsidP="00DB3605">
      <w:pPr>
        <w:spacing w:after="0" w:line="390" w:lineRule="atLeast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</w:pP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Данная схема ничем не отличается от схемы, показанной выше, кроме абонентских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. И первое и второе поддерево в текущей схеме поделены не на 64, а на 128 узлов: топологии «1х16+1х8» и «1х2+1х8+1х8» соответственно (число абонентов на порт не превышает 64, но при этом есть возможность подключать абонентов где угодно и не беспокоиться о том, что ёмкости абонентского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сплиттера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не хватит, т.к. суммарная ёмкость абонентских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обеспечивает 100% проникновение). Такой подход, конечно, рискованный (может не хватить оптического бюджета), однако он позволяет сэкономить на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OLT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-ах при низком стартовом бюджете проекта, и при этом учесть неравномерную плотность абонентов на разных участках карты.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Ретопология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– обратимся к схеме, изображённой на рисунке (через один вверх). Допустим, что провайдер ошибся с выбором процента проникновения, т.к. все поддеревья уже почти заполнены, а заявки на подключение продолжают поступать в большом количестве. Чтобы продолжать подключать новых, абонентов провайдеру необходимо масштабировать свою сеть под больший процент проникновения; при этом масштабирование должно проходить максимально быстро, чтобы текущие абоненты не жаловались на постоянные ремонтные работы и отсутствие Интернета. Как уже отмечалось, масштабирование сети проходит наиболее эффективно при удвоении абонентской базы (варианты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методом удвоения).</w:t>
      </w:r>
    </w:p>
    <w:p w:rsidR="00DB3605" w:rsidRPr="009E4505" w:rsidRDefault="00DB3605" w:rsidP="00DB3605">
      <w:pPr>
        <w:spacing w:after="0" w:line="390" w:lineRule="atLeast"/>
        <w:jc w:val="center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</w:pPr>
      <w:r w:rsidRPr="009E4505">
        <w:rPr>
          <w:rFonts w:ascii="Palatino Linotype" w:eastAsia="Times New Roman" w:hAnsi="Palatino Linotype" w:cs="Times New Roman"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3F5AD028" wp14:editId="19F052CB">
            <wp:extent cx="5787448" cy="3065337"/>
            <wp:effectExtent l="0" t="0" r="3810" b="1905"/>
            <wp:docPr id="121" name="Рисунок 121" descr="http://compnet.pp.ua/images/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ompnet.pp.ua/images/0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21" cy="307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05" w:rsidRPr="009E4505" w:rsidRDefault="00DB3605" w:rsidP="00DB3605">
      <w:pPr>
        <w:spacing w:after="0" w:line="390" w:lineRule="atLeast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</w:pP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При помощи простой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построенной на замене абонентских и корневых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мы добиваемся удвоения процента проникновения. При этом замена может происходить не сразу, а в 2 этапа: 1) замена корневого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сплиттера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на 2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сплиттера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1х; 2) замена абонентских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на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сплиттера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1х2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. Если какое-то из поддеревьев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OLT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насыщено (достигло 64 абонентов) или приближается к насыщению, а заявки на подключение ещё есть, то можно сначала заменить корневые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сплиттеры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а абонентские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сплиттеры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менять потом, по мере необходимости. Это позволяет свести к минимуму неудобства текущих абонентов во время проведения ремонтных работ. Примечание: нужно понимать, </w:t>
      </w:r>
      <w:proofErr w:type="gram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что</w:t>
      </w:r>
      <w:proofErr w:type="gram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заменяя 1 корневой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на 2, мы увеличиваем количество поддеревьев – следовательно, понадобится ещё один свободный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EPON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порт (а если его нет, то новый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OLT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). Стоит обратить внимание, что приведённые на рисунке варианты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не затрагивают схему трассировки волокон – она остаётся прежней (схему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кроссировки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в оптических узлах придётся слегка подправить из-за увеличения количества корневых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). Нужно учитывать, что любое масштабирование сети предусматривает наличие резервных волокон – в приведённых схемах резерв волокон необходим только на магистральном участке. Существует ещё одна интересная и довольно популярная схема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. В отличии от схем, продемонстрированных на рисунке выше, здесь корневой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не заменяется парой других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а просто удаляется. Таким образом, на первом этапе мы превращаем 3х каскадное дерево в пару 2х каскадных, а на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lastRenderedPageBreak/>
        <w:t xml:space="preserve">втором этапе производим замену абонентских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сплиттеров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. Стоит отметить, что в данном варианте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в качестве корневого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сплиттера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может использоваться только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1х2; причём, его желательно устанавливать непосредственно в серверной (рядом с 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  <w:t>OLT</w:t>
      </w:r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) – тогда «разделение деревьев» будет проходить максимально быстро (вариант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методом удвоения).</w:t>
      </w:r>
    </w:p>
    <w:p w:rsidR="00DB3605" w:rsidRPr="009E4505" w:rsidRDefault="00DB3605" w:rsidP="00DB3605">
      <w:pPr>
        <w:spacing w:after="0" w:line="390" w:lineRule="atLeast"/>
        <w:jc w:val="center"/>
        <w:textAlignment w:val="baseline"/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  <w:lang w:val="en-US"/>
        </w:rPr>
      </w:pPr>
      <w:r w:rsidRPr="009E4505">
        <w:rPr>
          <w:rFonts w:ascii="Palatino Linotype" w:eastAsia="Times New Roman" w:hAnsi="Palatino Linotype" w:cs="Times New Roman"/>
          <w:color w:val="000000"/>
          <w:sz w:val="26"/>
          <w:szCs w:val="26"/>
          <w:lang w:val="en-US"/>
        </w:rPr>
        <w:drawing>
          <wp:inline distT="0" distB="0" distL="0" distR="0" wp14:anchorId="33A4FB6E" wp14:editId="5B4E81F4">
            <wp:extent cx="5912139" cy="2597289"/>
            <wp:effectExtent l="0" t="0" r="0" b="0"/>
            <wp:docPr id="120" name="Рисунок 120" descr="http://compnet.pp.ua/images/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ompnet.pp.ua/images/0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11" cy="26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B3" w:rsidRDefault="00DB3605" w:rsidP="00DB3605"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Рассматривая схемы выше –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, можно рассмотреть первые примеры и определить, топология какого поддерева позволит удвоить абонентскую базу наиболее быстро и с минимальными трудозатратами. Ответить однозначно достаточно сложно, т.к. для обоих поддеревьев процесс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ретопологии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потребует минимум монтажных работ, однако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ретопология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второго поддерева пройдёт немного быстрей. Это произойдёт потому, что корневой </w:t>
      </w:r>
      <w:proofErr w:type="spellStart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>сплиттер</w:t>
      </w:r>
      <w:proofErr w:type="spellEnd"/>
      <w:r w:rsidRPr="009E4505">
        <w:rPr>
          <w:rFonts w:ascii="Palatino Linotype" w:eastAsia="Times New Roman" w:hAnsi="Palatino Linotype" w:cs="Times New Roman"/>
          <w:noProof w:val="0"/>
          <w:color w:val="000000"/>
          <w:sz w:val="26"/>
          <w:szCs w:val="26"/>
        </w:rPr>
        <w:t xml:space="preserve"> второго поддерева находится в серверной (по крайней мере, должен находиться), а монтажные работы в помещении всегда проходят быстрее, чем «в поле».</w:t>
      </w:r>
      <w:bookmarkStart w:id="0" w:name="_GoBack"/>
      <w:bookmarkEnd w:id="0"/>
    </w:p>
    <w:sectPr w:rsidR="00452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05"/>
    <w:rsid w:val="00451435"/>
    <w:rsid w:val="004524B3"/>
    <w:rsid w:val="004E7027"/>
    <w:rsid w:val="005000F6"/>
    <w:rsid w:val="006749B0"/>
    <w:rsid w:val="008B5914"/>
    <w:rsid w:val="008F6DA7"/>
    <w:rsid w:val="00954401"/>
    <w:rsid w:val="00BD7406"/>
    <w:rsid w:val="00DB3605"/>
    <w:rsid w:val="00E42003"/>
    <w:rsid w:val="00F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A3BCD-5DA7-47E2-A53F-FD6F3B95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605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qFormat/>
    <w:rsid w:val="008B5914"/>
    <w:pPr>
      <w:keepNext/>
      <w:keepLines/>
      <w:widowControl w:val="0"/>
      <w:spacing w:after="0" w:line="360" w:lineRule="auto"/>
      <w:ind w:firstLine="709"/>
      <w:jc w:val="center"/>
      <w:outlineLvl w:val="0"/>
    </w:pPr>
    <w:rPr>
      <w:rFonts w:ascii="Times New Roman" w:eastAsia="SimSun" w:hAnsi="Times New Roman" w:cs="Arial"/>
      <w:b/>
      <w:caps/>
      <w:noProof w:val="0"/>
      <w:color w:val="000000"/>
      <w:kern w:val="2"/>
      <w:sz w:val="28"/>
      <w:szCs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after="0" w:line="40" w:lineRule="atLeast"/>
      <w:ind w:firstLine="709"/>
      <w:jc w:val="left"/>
    </w:pPr>
    <w:rPr>
      <w:rFonts w:ascii="Strikersfont2" w:hAnsi="Strikersfont2"/>
      <w:noProof w:val="0"/>
      <w:color w:val="1F3864" w:themeColor="accent5" w:themeShade="80"/>
      <w:spacing w:val="-60"/>
      <w:sz w:val="32"/>
      <w:lang w:val="en-US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2020-06-19T11:49:00Z</dcterms:created>
  <dcterms:modified xsi:type="dcterms:W3CDTF">2020-06-19T11:50:00Z</dcterms:modified>
</cp:coreProperties>
</file>