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B3" w:rsidRDefault="00C967F3" w:rsidP="00C967F3">
      <w:pPr>
        <w:ind w:firstLine="0"/>
        <w:jc w:val="center"/>
        <w:rPr>
          <w:lang w:val="ru-RU"/>
        </w:rPr>
      </w:pPr>
      <w:r>
        <w:rPr>
          <w:lang w:val="ru-RU"/>
        </w:rPr>
        <w:t xml:space="preserve">Безрук Юрий, группа КС-21, напарник по проекту </w:t>
      </w:r>
      <w:proofErr w:type="spellStart"/>
      <w:r>
        <w:rPr>
          <w:lang w:val="ru-RU"/>
        </w:rPr>
        <w:t>Дибцева</w:t>
      </w:r>
      <w:proofErr w:type="spellEnd"/>
      <w:r>
        <w:rPr>
          <w:lang w:val="ru-RU"/>
        </w:rPr>
        <w:t xml:space="preserve"> Анна</w:t>
      </w:r>
    </w:p>
    <w:p w:rsidR="00C967F3" w:rsidRPr="00C967F3" w:rsidRDefault="00CF0158" w:rsidP="00C967F3">
      <w:pPr>
        <w:ind w:firstLine="0"/>
        <w:rPr>
          <w:lang w:val="ru-RU"/>
        </w:rPr>
      </w:pPr>
      <w:r>
        <w:rPr>
          <w:lang w:val="ru-RU"/>
        </w:rPr>
        <w:t>“Финансовая оценка СТАРТАПА (</w:t>
      </w:r>
      <w:r w:rsidR="00C967F3" w:rsidRPr="00C967F3">
        <w:rPr>
          <w:lang w:val="ru-RU"/>
        </w:rPr>
        <w:t>доинвестиционная стоимость проекта)”</w:t>
      </w:r>
    </w:p>
    <w:p w:rsidR="00C967F3" w:rsidRDefault="00C967F3" w:rsidP="00C967F3">
      <w:pPr>
        <w:ind w:firstLine="0"/>
        <w:rPr>
          <w:lang w:val="ru-RU"/>
        </w:rPr>
      </w:pPr>
    </w:p>
    <w:p w:rsidR="00C967F3" w:rsidRDefault="00C967F3" w:rsidP="00C967F3">
      <w:pPr>
        <w:rPr>
          <w:lang w:val="ru-RU"/>
        </w:rPr>
      </w:pPr>
      <w:r>
        <w:rPr>
          <w:lang w:val="ru-RU"/>
        </w:rPr>
        <w:t xml:space="preserve">Темой нашего </w:t>
      </w:r>
      <w:r w:rsidR="0017268D">
        <w:rPr>
          <w:lang w:val="ru-RU"/>
        </w:rPr>
        <w:t>проекта</w:t>
      </w:r>
      <w:r>
        <w:rPr>
          <w:lang w:val="ru-RU"/>
        </w:rPr>
        <w:t xml:space="preserve"> является приложение по контролю домашнего гардероба </w:t>
      </w:r>
      <w:r>
        <w:t>Smart</w:t>
      </w:r>
      <w:r w:rsidRPr="00C967F3">
        <w:rPr>
          <w:lang w:val="ru-RU"/>
        </w:rPr>
        <w:t xml:space="preserve"> </w:t>
      </w:r>
      <w:r>
        <w:t>Wardrobe</w:t>
      </w:r>
      <w:r w:rsidRPr="00C967F3">
        <w:rPr>
          <w:lang w:val="ru-RU"/>
        </w:rPr>
        <w:t>.</w:t>
      </w:r>
      <w:r>
        <w:rPr>
          <w:lang w:val="ru-RU"/>
        </w:rPr>
        <w:t xml:space="preserve"> </w:t>
      </w:r>
      <w:r w:rsidR="0017268D">
        <w:rPr>
          <w:lang w:val="ru-RU"/>
        </w:rPr>
        <w:t xml:space="preserve">Для выполнения оценки </w:t>
      </w:r>
      <w:proofErr w:type="spellStart"/>
      <w:r w:rsidR="0017268D">
        <w:rPr>
          <w:lang w:val="ru-RU"/>
        </w:rPr>
        <w:t>стартапа</w:t>
      </w:r>
      <w:proofErr w:type="spellEnd"/>
      <w:r w:rsidR="0017268D">
        <w:rPr>
          <w:lang w:val="ru-RU"/>
        </w:rPr>
        <w:t xml:space="preserve"> был выбран метод суммирования факторов риска, так как в случае приложения проще оценить возможные трудности</w:t>
      </w:r>
      <w:r w:rsidR="00CF0158">
        <w:rPr>
          <w:lang w:val="ru-RU"/>
        </w:rPr>
        <w:t>, угрозы,</w:t>
      </w:r>
      <w:r w:rsidR="0017268D">
        <w:rPr>
          <w:lang w:val="ru-RU"/>
        </w:rPr>
        <w:t xml:space="preserve"> и</w:t>
      </w:r>
      <w:r w:rsidR="00CF0158">
        <w:rPr>
          <w:lang w:val="ru-RU"/>
        </w:rPr>
        <w:t>, непосредственно,</w:t>
      </w:r>
      <w:r w:rsidR="0017268D">
        <w:rPr>
          <w:lang w:val="ru-RU"/>
        </w:rPr>
        <w:t xml:space="preserve"> риски на примере других популярных приложений (и не только конкурентов).</w:t>
      </w:r>
    </w:p>
    <w:p w:rsidR="001C4528" w:rsidRDefault="00CF0158" w:rsidP="00C967F3">
      <w:pPr>
        <w:rPr>
          <w:lang w:val="ru-RU"/>
        </w:rPr>
      </w:pPr>
      <w:r>
        <w:rPr>
          <w:lang w:val="ru-RU"/>
        </w:rPr>
        <w:t xml:space="preserve">Для оценки по методу СФР сначала </w:t>
      </w:r>
      <w:proofErr w:type="spellStart"/>
      <w:r>
        <w:rPr>
          <w:lang w:val="ru-RU"/>
        </w:rPr>
        <w:t>установ</w:t>
      </w:r>
      <w:r w:rsidR="00D66BA6">
        <w:rPr>
          <w:lang w:val="ru-RU"/>
        </w:rPr>
        <w:t>ливаем</w:t>
      </w:r>
      <w:proofErr w:type="spellEnd"/>
      <w:r>
        <w:rPr>
          <w:lang w:val="ru-RU"/>
        </w:rPr>
        <w:t xml:space="preserve"> начальную стоимость </w:t>
      </w:r>
      <w:proofErr w:type="spellStart"/>
      <w:r>
        <w:rPr>
          <w:lang w:val="ru-RU"/>
        </w:rPr>
        <w:t>стартапа</w:t>
      </w:r>
      <w:proofErr w:type="spellEnd"/>
      <w:r>
        <w:rPr>
          <w:lang w:val="ru-RU"/>
        </w:rPr>
        <w:t>.</w:t>
      </w:r>
      <w:r w:rsidR="00D66BA6">
        <w:rPr>
          <w:lang w:val="ru-RU"/>
        </w:rPr>
        <w:t xml:space="preserve"> Согласно </w:t>
      </w:r>
      <w:proofErr w:type="gramStart"/>
      <w:r w:rsidR="00D66BA6">
        <w:rPr>
          <w:lang w:val="ru-RU"/>
        </w:rPr>
        <w:t>проведенным</w:t>
      </w:r>
      <w:proofErr w:type="gramEnd"/>
      <w:r w:rsidR="00D66BA6">
        <w:rPr>
          <w:lang w:val="ru-RU"/>
        </w:rPr>
        <w:t xml:space="preserve"> в прошлой работе </w:t>
      </w:r>
      <w:proofErr w:type="spellStart"/>
      <w:r w:rsidR="00D66BA6">
        <w:rPr>
          <w:lang w:val="ru-RU"/>
        </w:rPr>
        <w:t>рассчетам</w:t>
      </w:r>
      <w:proofErr w:type="spellEnd"/>
      <w:r w:rsidR="00D66BA6">
        <w:rPr>
          <w:lang w:val="ru-RU"/>
        </w:rPr>
        <w:t xml:space="preserve">, и без учета </w:t>
      </w:r>
      <w:proofErr w:type="spellStart"/>
      <w:r w:rsidR="00D66BA6">
        <w:rPr>
          <w:lang w:val="ru-RU"/>
        </w:rPr>
        <w:t>долгострочных</w:t>
      </w:r>
      <w:proofErr w:type="spellEnd"/>
      <w:r w:rsidR="00D66BA6">
        <w:rPr>
          <w:lang w:val="ru-RU"/>
        </w:rPr>
        <w:t xml:space="preserve"> перспектив, начальная стоимость проекта оценивается приблизительно в 1 200 000 грн. (</w:t>
      </w:r>
      <w:r w:rsidR="00D66BA6" w:rsidRPr="00D66BA6">
        <w:rPr>
          <w:lang w:val="ru-RU"/>
        </w:rPr>
        <w:t>44208,48$</w:t>
      </w:r>
      <w:r w:rsidR="00D66BA6">
        <w:rPr>
          <w:lang w:val="ru-RU"/>
        </w:rPr>
        <w:t>)</w:t>
      </w:r>
      <w:r w:rsidR="00D66BA6" w:rsidRPr="00D66BA6">
        <w:rPr>
          <w:lang w:val="ru-RU"/>
        </w:rPr>
        <w:t xml:space="preserve">. </w:t>
      </w:r>
      <w:proofErr w:type="gramStart"/>
      <w:r w:rsidR="00D66BA6" w:rsidRPr="00D66BA6">
        <w:rPr>
          <w:lang w:val="ru-RU"/>
        </w:rPr>
        <w:t>Тогда</w:t>
      </w:r>
      <w:r w:rsidR="00D66BA6">
        <w:rPr>
          <w:lang w:val="ru-RU"/>
        </w:rPr>
        <w:t>,</w:t>
      </w:r>
      <w:r w:rsidR="00D66BA6" w:rsidRPr="00D66BA6">
        <w:rPr>
          <w:lang w:val="ru-RU"/>
        </w:rPr>
        <w:t xml:space="preserve"> </w:t>
      </w:r>
      <w:r w:rsidR="00D66BA6">
        <w:rPr>
          <w:lang w:val="ru-RU"/>
        </w:rPr>
        <w:t xml:space="preserve">расходы на риски рассчитываются, согласно методу СФР, по шкале от очень низкого до очень высокого риска, с шагом в </w:t>
      </w:r>
      <w:r w:rsidR="00D66BA6" w:rsidRPr="00D66BA6">
        <w:rPr>
          <w:lang w:val="ru-RU"/>
        </w:rPr>
        <w:t>~15</w:t>
      </w:r>
      <w:r w:rsidR="00D66BA6">
        <w:rPr>
          <w:lang w:val="ru-RU"/>
        </w:rPr>
        <w:t>% от начальной стоимости.</w:t>
      </w:r>
      <w:proofErr w:type="gramEnd"/>
      <w:r w:rsidR="00D66BA6">
        <w:rPr>
          <w:lang w:val="ru-RU"/>
        </w:rPr>
        <w:t xml:space="preserve"> </w:t>
      </w:r>
      <w:r w:rsidR="00993B15">
        <w:rPr>
          <w:lang w:val="ru-RU"/>
        </w:rPr>
        <w:t xml:space="preserve">Отсюда </w:t>
      </w:r>
      <w:r w:rsidR="00D66BA6">
        <w:rPr>
          <w:lang w:val="ru-RU"/>
        </w:rPr>
        <w:t xml:space="preserve"> имеем такой диапазон распределений потерь/прибы</w:t>
      </w:r>
      <w:r w:rsidR="001C4528">
        <w:rPr>
          <w:lang w:val="ru-RU"/>
        </w:rPr>
        <w:t>ли для нашего проекта по методу:</w:t>
      </w:r>
    </w:p>
    <w:p w:rsidR="00CF0158" w:rsidRDefault="001C4528" w:rsidP="001C452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Очень низкий риск</w:t>
      </w:r>
      <w:r w:rsidR="00695857">
        <w:rPr>
          <w:lang w:val="ru-RU"/>
        </w:rPr>
        <w:t>: +360 000 грн.</w:t>
      </w:r>
    </w:p>
    <w:p w:rsidR="00695857" w:rsidRDefault="00695857" w:rsidP="001C452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Низкий риск: +180 000 грн.</w:t>
      </w:r>
    </w:p>
    <w:p w:rsidR="00695857" w:rsidRDefault="00695857" w:rsidP="001C452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Средний риск: 0 грн.</w:t>
      </w:r>
    </w:p>
    <w:p w:rsidR="00695857" w:rsidRDefault="00695857" w:rsidP="001C452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Высокий риск: -180 000 грн.</w:t>
      </w:r>
    </w:p>
    <w:p w:rsidR="00695857" w:rsidRDefault="00695857" w:rsidP="001C4528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Очень высокий риск: -360 000 грн.</w:t>
      </w:r>
    </w:p>
    <w:p w:rsidR="0072138A" w:rsidRDefault="00695857" w:rsidP="0072138A">
      <w:pPr>
        <w:rPr>
          <w:lang w:val="ru-RU"/>
        </w:rPr>
      </w:pPr>
      <w:r>
        <w:rPr>
          <w:lang w:val="ru-RU"/>
        </w:rPr>
        <w:t xml:space="preserve">Далее, с учётом установленных мерок, рассчитаем стоимость </w:t>
      </w:r>
      <w:proofErr w:type="spellStart"/>
      <w:r>
        <w:rPr>
          <w:lang w:val="ru-RU"/>
        </w:rPr>
        <w:t>стартапа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прибавив</w:t>
      </w:r>
      <w:proofErr w:type="gramEnd"/>
      <w:r>
        <w:rPr>
          <w:lang w:val="ru-RU"/>
        </w:rPr>
        <w:t xml:space="preserve">/отняв расходы за каждую из 12 основных категорий риска. Результаты </w:t>
      </w:r>
      <w:proofErr w:type="spellStart"/>
      <w:r>
        <w:rPr>
          <w:lang w:val="ru-RU"/>
        </w:rPr>
        <w:t>рассчетов</w:t>
      </w:r>
      <w:proofErr w:type="spellEnd"/>
      <w:r>
        <w:rPr>
          <w:lang w:val="ru-RU"/>
        </w:rPr>
        <w:t xml:space="preserve"> приведены в таблице 1.</w:t>
      </w:r>
    </w:p>
    <w:p w:rsidR="006C0E2D" w:rsidRDefault="0072138A" w:rsidP="0072138A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2138A" w:rsidRPr="0072138A" w:rsidRDefault="0072138A" w:rsidP="0072138A">
      <w:pPr>
        <w:rPr>
          <w:lang w:val="ru-RU"/>
        </w:rPr>
      </w:pPr>
      <w:r w:rsidRPr="0072138A">
        <w:rPr>
          <w:lang w:val="ru-RU"/>
        </w:rPr>
        <w:lastRenderedPageBreak/>
        <w:t xml:space="preserve">Таблица </w:t>
      </w:r>
      <w:r>
        <w:fldChar w:fldCharType="begin"/>
      </w:r>
      <w:r w:rsidRPr="0072138A">
        <w:rPr>
          <w:lang w:val="ru-RU"/>
        </w:rPr>
        <w:instrText xml:space="preserve"> </w:instrText>
      </w:r>
      <w:r>
        <w:instrText>SEQ</w:instrText>
      </w:r>
      <w:r w:rsidRPr="0072138A">
        <w:rPr>
          <w:lang w:val="ru-RU"/>
        </w:rPr>
        <w:instrText xml:space="preserve"> Таблица \* </w:instrText>
      </w:r>
      <w:r>
        <w:instrText>ARABIC</w:instrText>
      </w:r>
      <w:r w:rsidRPr="0072138A">
        <w:rPr>
          <w:lang w:val="ru-RU"/>
        </w:rPr>
        <w:instrText xml:space="preserve"> </w:instrText>
      </w:r>
      <w:r>
        <w:fldChar w:fldCharType="separate"/>
      </w:r>
      <w:r w:rsidRPr="0072138A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расчёт стоимости методом суммирования факторов риска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3128"/>
        <w:gridCol w:w="2017"/>
        <w:gridCol w:w="2567"/>
        <w:gridCol w:w="2193"/>
      </w:tblGrid>
      <w:tr w:rsidR="006C0E2D" w:rsidTr="00320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потеря/прибыль, наименование</w:t>
            </w:r>
          </w:p>
        </w:tc>
        <w:tc>
          <w:tcPr>
            <w:tcW w:w="2017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уровень риска</w:t>
            </w:r>
          </w:p>
        </w:tc>
        <w:tc>
          <w:tcPr>
            <w:tcW w:w="2567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прибыль/расходы, грн.</w:t>
            </w:r>
          </w:p>
        </w:tc>
        <w:tc>
          <w:tcPr>
            <w:tcW w:w="2193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текущая сумма</w:t>
            </w:r>
            <w:r w:rsidR="003209F0">
              <w:rPr>
                <w:rFonts w:cs="Times New Roman"/>
                <w:szCs w:val="28"/>
                <w:lang w:val="ru-RU"/>
              </w:rPr>
              <w:t>, грн.</w:t>
            </w:r>
          </w:p>
        </w:tc>
      </w:tr>
      <w:tr w:rsidR="006C0E2D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6C0E2D" w:rsidRPr="003209F0" w:rsidRDefault="003209F0" w:rsidP="003209F0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0. Н</w:t>
            </w:r>
            <w:r w:rsidR="006C0E2D" w:rsidRPr="003209F0">
              <w:rPr>
                <w:rFonts w:cs="Times New Roman"/>
                <w:szCs w:val="28"/>
                <w:lang w:val="ru-RU"/>
              </w:rPr>
              <w:t>ачальная стоимость</w:t>
            </w:r>
          </w:p>
        </w:tc>
        <w:tc>
          <w:tcPr>
            <w:tcW w:w="2017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-</w:t>
            </w:r>
          </w:p>
        </w:tc>
        <w:tc>
          <w:tcPr>
            <w:tcW w:w="2567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+1 200 000</w:t>
            </w:r>
          </w:p>
        </w:tc>
        <w:tc>
          <w:tcPr>
            <w:tcW w:w="2193" w:type="dxa"/>
            <w:vAlign w:val="center"/>
          </w:tcPr>
          <w:p w:rsidR="006C0E2D" w:rsidRPr="003209F0" w:rsidRDefault="006C0E2D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 w:rsidRPr="003209F0">
              <w:rPr>
                <w:rFonts w:cs="Times New Roman"/>
                <w:szCs w:val="28"/>
                <w:lang w:val="ru-RU"/>
              </w:rPr>
              <w:t>1 200 000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1. Риски неэффективного управления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Очень высокий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-360 000</w:t>
            </w:r>
          </w:p>
        </w:tc>
        <w:tc>
          <w:tcPr>
            <w:tcW w:w="2193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840 000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2. Риски на разных стадиях развития бизнеса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Низкий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+180 000</w:t>
            </w:r>
          </w:p>
        </w:tc>
        <w:tc>
          <w:tcPr>
            <w:tcW w:w="2193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1 020 000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3. Риски, связанные с политикой и законодательством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Средний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2193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1 020 000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4. Производственные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Очень низкий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+360 000</w:t>
            </w:r>
          </w:p>
        </w:tc>
        <w:tc>
          <w:tcPr>
            <w:tcW w:w="2193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1 380 000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5. Риски, связанные с производством и продажами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Средний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2193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1 380 000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6. Риски, связанные с финансированием и привлечением капитала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Высокий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-180 000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1 200 000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color w:val="000000" w:themeColor="dark1"/>
                <w:kern w:val="24"/>
                <w:sz w:val="28"/>
                <w:szCs w:val="28"/>
                <w:lang w:val="ru-RU"/>
              </w:rPr>
              <w:t>7. К</w:t>
            </w: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онкурентные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Высокий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-180 000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1 020 000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8. Технологические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Средний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1 020 000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9. Судебные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Низкий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+180 000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1 200 000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10. Международные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Очень низкий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+360 000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1 560 000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 xml:space="preserve">11. </w:t>
            </w:r>
            <w:proofErr w:type="spellStart"/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Репутационные</w:t>
            </w:r>
            <w:proofErr w:type="spellEnd"/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 xml:space="preserve"> риски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Очень низкий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lang w:val="ru-RU"/>
              </w:rPr>
              <w:t>+360 000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1 920 000</w:t>
            </w:r>
          </w:p>
        </w:tc>
      </w:tr>
      <w:tr w:rsidR="003209F0" w:rsidTr="00320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3209F0" w:rsidP="003209F0">
            <w:pPr>
              <w:pStyle w:val="a5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3209F0">
              <w:rPr>
                <w:color w:val="000000" w:themeColor="dark1"/>
                <w:kern w:val="24"/>
                <w:sz w:val="28"/>
                <w:szCs w:val="28"/>
                <w:lang w:val="ru-RU"/>
              </w:rPr>
              <w:t>12. Риски, связанные с потенциально прибыльным выходом из инвестиций</w:t>
            </w:r>
          </w:p>
        </w:tc>
        <w:tc>
          <w:tcPr>
            <w:tcW w:w="201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Средний</w:t>
            </w:r>
          </w:p>
        </w:tc>
        <w:tc>
          <w:tcPr>
            <w:tcW w:w="2567" w:type="dxa"/>
            <w:vAlign w:val="center"/>
          </w:tcPr>
          <w:p w:rsidR="003209F0" w:rsidRPr="003209F0" w:rsidRDefault="003209F0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0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1 920 000</w:t>
            </w:r>
          </w:p>
        </w:tc>
      </w:tr>
      <w:tr w:rsidR="003209F0" w:rsidTr="003209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  <w:vAlign w:val="center"/>
          </w:tcPr>
          <w:p w:rsidR="003209F0" w:rsidRPr="003209F0" w:rsidRDefault="0072138A" w:rsidP="003209F0">
            <w:pPr>
              <w:pStyle w:val="a5"/>
              <w:spacing w:before="0" w:beforeAutospacing="0" w:after="0" w:afterAutospacing="0"/>
              <w:jc w:val="center"/>
              <w:rPr>
                <w:color w:val="000000" w:themeColor="dark1"/>
                <w:kern w:val="24"/>
                <w:sz w:val="28"/>
                <w:szCs w:val="28"/>
                <w:lang w:val="ru-RU"/>
              </w:rPr>
            </w:pPr>
            <w:r>
              <w:rPr>
                <w:color w:val="000000" w:themeColor="dark1"/>
                <w:kern w:val="24"/>
                <w:sz w:val="28"/>
                <w:szCs w:val="28"/>
                <w:lang w:val="ru-RU"/>
              </w:rPr>
              <w:t>13. Итоговая стоимость</w:t>
            </w:r>
          </w:p>
        </w:tc>
        <w:tc>
          <w:tcPr>
            <w:tcW w:w="2017" w:type="dxa"/>
            <w:vAlign w:val="center"/>
          </w:tcPr>
          <w:p w:rsid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-</w:t>
            </w:r>
          </w:p>
        </w:tc>
        <w:tc>
          <w:tcPr>
            <w:tcW w:w="2567" w:type="dxa"/>
            <w:vAlign w:val="center"/>
          </w:tcPr>
          <w:p w:rsid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-</w:t>
            </w:r>
          </w:p>
        </w:tc>
        <w:tc>
          <w:tcPr>
            <w:tcW w:w="2193" w:type="dxa"/>
            <w:vAlign w:val="center"/>
          </w:tcPr>
          <w:p w:rsidR="003209F0" w:rsidRPr="003209F0" w:rsidRDefault="0072138A" w:rsidP="003209F0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1 920 000</w:t>
            </w:r>
          </w:p>
        </w:tc>
      </w:tr>
    </w:tbl>
    <w:p w:rsidR="002E3B52" w:rsidRDefault="00E75722" w:rsidP="00E75722">
      <w:pPr>
        <w:rPr>
          <w:lang w:val="ru-RU"/>
        </w:rPr>
      </w:pPr>
      <w:r>
        <w:rPr>
          <w:lang w:val="ru-RU"/>
        </w:rPr>
        <w:lastRenderedPageBreak/>
        <w:t xml:space="preserve">Основными </w:t>
      </w:r>
      <w:r w:rsidR="00070994">
        <w:rPr>
          <w:lang w:val="ru-RU"/>
        </w:rPr>
        <w:t>способами получения дохода приложения являютс</w:t>
      </w:r>
      <w:r w:rsidR="0024261E">
        <w:rPr>
          <w:lang w:val="ru-RU"/>
        </w:rPr>
        <w:t>я размещение внутр</w:t>
      </w:r>
      <w:r w:rsidR="00E8472C">
        <w:rPr>
          <w:lang w:val="ru-RU"/>
        </w:rPr>
        <w:t xml:space="preserve">енней рекламы, </w:t>
      </w:r>
      <w:r w:rsidR="00993B15">
        <w:rPr>
          <w:lang w:val="ru-RU"/>
        </w:rPr>
        <w:t>платна</w:t>
      </w:r>
      <w:bookmarkStart w:id="0" w:name="_GoBack"/>
      <w:bookmarkEnd w:id="0"/>
      <w:r w:rsidR="00993B15">
        <w:rPr>
          <w:lang w:val="ru-RU"/>
        </w:rPr>
        <w:t>я премиум-</w:t>
      </w:r>
      <w:r w:rsidR="0024261E">
        <w:rPr>
          <w:lang w:val="ru-RU"/>
        </w:rPr>
        <w:t>версия программы</w:t>
      </w:r>
      <w:r w:rsidR="00E8472C">
        <w:rPr>
          <w:lang w:val="ru-RU"/>
        </w:rPr>
        <w:t>, а также процент от покупок совершенных через приложение</w:t>
      </w:r>
      <w:r w:rsidR="0024261E">
        <w:rPr>
          <w:lang w:val="ru-RU"/>
        </w:rPr>
        <w:t>. Средняя стоимость размещения</w:t>
      </w:r>
      <w:r w:rsidR="002E3B52">
        <w:rPr>
          <w:lang w:val="ru-RU"/>
        </w:rPr>
        <w:t xml:space="preserve"> встроенных</w:t>
      </w:r>
      <w:r w:rsidR="0024261E">
        <w:rPr>
          <w:lang w:val="ru-RU"/>
        </w:rPr>
        <w:t xml:space="preserve"> рекламных баннеров </w:t>
      </w:r>
      <w:r w:rsidR="002E3B52">
        <w:rPr>
          <w:lang w:val="ru-RU"/>
        </w:rPr>
        <w:t>на рынке Украины варьируется от 3750 до 25 000 грн. (зависит от качества самого баннера, популярности приложения, целесообразности размещения рекламы (выбивающаяся из общего формата приложения реклама будет портить имидж приложения, поэтому</w:t>
      </w:r>
      <w:r w:rsidR="00E8472C">
        <w:rPr>
          <w:lang w:val="ru-RU"/>
        </w:rPr>
        <w:t xml:space="preserve"> будет стоять дороже</w:t>
      </w:r>
      <w:r w:rsidR="002E3B52">
        <w:rPr>
          <w:lang w:val="ru-RU"/>
        </w:rPr>
        <w:t>)</w:t>
      </w:r>
      <w:r w:rsidR="00E8472C">
        <w:rPr>
          <w:lang w:val="ru-RU"/>
        </w:rPr>
        <w:t>, а также, непосредственно, популярности самого приложения</w:t>
      </w:r>
      <w:r w:rsidR="002E3B52">
        <w:rPr>
          <w:lang w:val="ru-RU"/>
        </w:rPr>
        <w:t>)</w:t>
      </w:r>
      <w:r w:rsidR="00E8472C">
        <w:rPr>
          <w:lang w:val="ru-RU"/>
        </w:rPr>
        <w:t xml:space="preserve">. </w:t>
      </w:r>
      <w:r w:rsidR="00675602">
        <w:rPr>
          <w:lang w:val="ru-RU"/>
        </w:rPr>
        <w:t>Средняя стоимость</w:t>
      </w:r>
      <w:r w:rsidR="0096027C">
        <w:rPr>
          <w:lang w:val="ru-RU"/>
        </w:rPr>
        <w:t xml:space="preserve"> платных приложений в </w:t>
      </w:r>
      <w:r w:rsidR="0096027C">
        <w:rPr>
          <w:lang w:val="en-AU"/>
        </w:rPr>
        <w:t>Google</w:t>
      </w:r>
      <w:r w:rsidR="0096027C" w:rsidRPr="0096027C">
        <w:rPr>
          <w:lang w:val="ru-RU"/>
        </w:rPr>
        <w:t xml:space="preserve"> </w:t>
      </w:r>
      <w:r w:rsidR="0096027C">
        <w:rPr>
          <w:lang w:val="en-AU"/>
        </w:rPr>
        <w:t>Play</w:t>
      </w:r>
      <w:r w:rsidR="0096027C" w:rsidRPr="0096027C">
        <w:rPr>
          <w:lang w:val="ru-RU"/>
        </w:rPr>
        <w:t xml:space="preserve"> </w:t>
      </w:r>
      <w:r w:rsidR="0096027C">
        <w:rPr>
          <w:lang w:val="ru-RU"/>
        </w:rPr>
        <w:t xml:space="preserve">от 80 до 250 грн. С учётом этого, </w:t>
      </w:r>
      <w:r w:rsidR="00D402EE">
        <w:rPr>
          <w:lang w:val="ru-RU"/>
        </w:rPr>
        <w:t>т.к.</w:t>
      </w:r>
      <w:r w:rsidR="0096027C">
        <w:rPr>
          <w:lang w:val="ru-RU"/>
        </w:rPr>
        <w:t xml:space="preserve"> </w:t>
      </w:r>
      <w:r w:rsidR="00D402EE">
        <w:rPr>
          <w:lang w:val="ru-RU"/>
        </w:rPr>
        <w:t xml:space="preserve">средняя </w:t>
      </w:r>
      <w:r w:rsidR="0096027C">
        <w:rPr>
          <w:lang w:val="ru-RU"/>
        </w:rPr>
        <w:t xml:space="preserve">премиум-версия стоит дороже </w:t>
      </w:r>
      <w:r w:rsidR="00D402EE">
        <w:rPr>
          <w:lang w:val="ru-RU"/>
        </w:rPr>
        <w:t xml:space="preserve">средней полностью </w:t>
      </w:r>
      <w:r w:rsidR="0096027C">
        <w:rPr>
          <w:lang w:val="ru-RU"/>
        </w:rPr>
        <w:t xml:space="preserve">платной программы, начальная рекомендуемая цена </w:t>
      </w:r>
      <w:r w:rsidR="00D402EE">
        <w:rPr>
          <w:lang w:val="ru-RU"/>
        </w:rPr>
        <w:t xml:space="preserve">для продукта, с учётом платного размещения в маркете – 160-220 грн. Также рассматривается возможность вместо постоянной платной версии реализовать ежемесячную или ежегодную премиум-подписку на приложение. В этом случаем ежемесячный платеж будет составлять порядка 40 грн. Касаемо онлайн-транзакций при помощи приложения (покупок в </w:t>
      </w:r>
      <w:proofErr w:type="gramStart"/>
      <w:r w:rsidR="00D402EE">
        <w:rPr>
          <w:lang w:val="ru-RU"/>
        </w:rPr>
        <w:t>интернет-магазинах</w:t>
      </w:r>
      <w:proofErr w:type="gramEnd"/>
      <w:r w:rsidR="00D402EE">
        <w:rPr>
          <w:lang w:val="ru-RU"/>
        </w:rPr>
        <w:t>) то, предполагается, что как посредник на изначальном этапе оно будет иметь ставку порядка 7-8%, однако со временем эта ставка может и вырасти (вернее будет сказать, что в наших целях её поднять)</w:t>
      </w:r>
      <w:r w:rsidR="00B63AE0">
        <w:rPr>
          <w:lang w:val="ru-RU"/>
        </w:rPr>
        <w:t>.</w:t>
      </w:r>
    </w:p>
    <w:p w:rsidR="00B63AE0" w:rsidRPr="00B63AE0" w:rsidRDefault="00B63AE0" w:rsidP="00E75722">
      <w:pPr>
        <w:rPr>
          <w:lang w:val="ru-RU"/>
        </w:rPr>
      </w:pPr>
      <w:r>
        <w:rPr>
          <w:lang w:val="ru-RU"/>
        </w:rPr>
        <w:t>В перспектив</w:t>
      </w:r>
      <w:r w:rsidR="00584E45">
        <w:rPr>
          <w:lang w:val="ru-RU"/>
        </w:rPr>
        <w:t>ы</w:t>
      </w:r>
      <w:r>
        <w:rPr>
          <w:lang w:val="ru-RU"/>
        </w:rPr>
        <w:t xml:space="preserve"> </w:t>
      </w:r>
      <w:r w:rsidR="00584E45">
        <w:rPr>
          <w:lang w:val="ru-RU"/>
        </w:rPr>
        <w:t xml:space="preserve">дальнейшего развития проекта входит повышение брендовости приложения и его применяемости за счет внедрения новых функций и возможностей для пользователей (рассматривается идея добавления уровней и псевдосоревновательных элементов, что, учитывая современные </w:t>
      </w:r>
      <w:r w:rsidR="00F16AEA">
        <w:rPr>
          <w:lang w:val="ru-RU"/>
        </w:rPr>
        <w:t>популярные настрои</w:t>
      </w:r>
      <w:r w:rsidR="00584E45">
        <w:rPr>
          <w:lang w:val="ru-RU"/>
        </w:rPr>
        <w:t xml:space="preserve"> </w:t>
      </w:r>
      <w:r w:rsidR="00F16AEA">
        <w:rPr>
          <w:lang w:val="ru-RU"/>
        </w:rPr>
        <w:t>молодежной культуры, в перспективе может повлечь за собой тренд на популярность этого приложения и «соревнований моды»</w:t>
      </w:r>
      <w:r w:rsidR="00584E45">
        <w:rPr>
          <w:lang w:val="ru-RU"/>
        </w:rPr>
        <w:t>)</w:t>
      </w:r>
      <w:r w:rsidR="00F16AEA">
        <w:rPr>
          <w:lang w:val="ru-RU"/>
        </w:rPr>
        <w:t>. Немаловажной задачей команды также будет являться вывод продукта на новые рынки, поначалу,  стран-соседей, а  спустя еще несколько лет, и на англоязычный (в основном, ориентированный на американский рынок)</w:t>
      </w:r>
      <w:proofErr w:type="gramStart"/>
      <w:r w:rsidR="00F16AEA">
        <w:rPr>
          <w:lang w:val="ru-RU"/>
        </w:rPr>
        <w:t>.</w:t>
      </w:r>
      <w:proofErr w:type="gramEnd"/>
      <w:r w:rsidR="005E45B3">
        <w:rPr>
          <w:lang w:val="ru-RU"/>
        </w:rPr>
        <w:t xml:space="preserve"> Также в </w:t>
      </w:r>
      <w:r w:rsidR="005E45B3">
        <w:rPr>
          <w:lang w:val="ru-RU"/>
        </w:rPr>
        <w:lastRenderedPageBreak/>
        <w:t>целях повышения удобства для пользователей рассматривается идея внедрения возможностей курьерской доставки купленной одежды. В свете последних событий прогнозируется, что общество начнет в будущем лояльнее относит</w:t>
      </w:r>
      <w:r w:rsidR="005C30FB">
        <w:rPr>
          <w:lang w:val="ru-RU"/>
        </w:rPr>
        <w:t>ь</w:t>
      </w:r>
      <w:r w:rsidR="005E45B3">
        <w:rPr>
          <w:lang w:val="ru-RU"/>
        </w:rPr>
        <w:t>ся к доставкам любого рода в целях экономии времени</w:t>
      </w:r>
      <w:r w:rsidR="005C30FB">
        <w:rPr>
          <w:lang w:val="ru-RU"/>
        </w:rPr>
        <w:t>.</w:t>
      </w:r>
    </w:p>
    <w:p w:rsidR="00695857" w:rsidRPr="001C4528" w:rsidRDefault="00695857" w:rsidP="00E75722">
      <w:pPr>
        <w:rPr>
          <w:lang w:val="ru-RU"/>
        </w:rPr>
      </w:pPr>
    </w:p>
    <w:sectPr w:rsidR="00695857" w:rsidRPr="001C45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60C"/>
    <w:multiLevelType w:val="hybridMultilevel"/>
    <w:tmpl w:val="1BFCE74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0" w:hanging="360"/>
      </w:pPr>
    </w:lvl>
    <w:lvl w:ilvl="2" w:tplc="0422001B" w:tentative="1">
      <w:start w:val="1"/>
      <w:numFmt w:val="lowerRoman"/>
      <w:lvlText w:val="%3."/>
      <w:lvlJc w:val="right"/>
      <w:pPr>
        <w:ind w:left="2930" w:hanging="180"/>
      </w:pPr>
    </w:lvl>
    <w:lvl w:ilvl="3" w:tplc="0422000F" w:tentative="1">
      <w:start w:val="1"/>
      <w:numFmt w:val="decimal"/>
      <w:lvlText w:val="%4."/>
      <w:lvlJc w:val="left"/>
      <w:pPr>
        <w:ind w:left="3650" w:hanging="360"/>
      </w:pPr>
    </w:lvl>
    <w:lvl w:ilvl="4" w:tplc="04220019" w:tentative="1">
      <w:start w:val="1"/>
      <w:numFmt w:val="lowerLetter"/>
      <w:lvlText w:val="%5."/>
      <w:lvlJc w:val="left"/>
      <w:pPr>
        <w:ind w:left="4370" w:hanging="360"/>
      </w:pPr>
    </w:lvl>
    <w:lvl w:ilvl="5" w:tplc="0422001B" w:tentative="1">
      <w:start w:val="1"/>
      <w:numFmt w:val="lowerRoman"/>
      <w:lvlText w:val="%6."/>
      <w:lvlJc w:val="right"/>
      <w:pPr>
        <w:ind w:left="5090" w:hanging="180"/>
      </w:pPr>
    </w:lvl>
    <w:lvl w:ilvl="6" w:tplc="0422000F" w:tentative="1">
      <w:start w:val="1"/>
      <w:numFmt w:val="decimal"/>
      <w:lvlText w:val="%7."/>
      <w:lvlJc w:val="left"/>
      <w:pPr>
        <w:ind w:left="5810" w:hanging="360"/>
      </w:pPr>
    </w:lvl>
    <w:lvl w:ilvl="7" w:tplc="04220019" w:tentative="1">
      <w:start w:val="1"/>
      <w:numFmt w:val="lowerLetter"/>
      <w:lvlText w:val="%8."/>
      <w:lvlJc w:val="left"/>
      <w:pPr>
        <w:ind w:left="6530" w:hanging="360"/>
      </w:pPr>
    </w:lvl>
    <w:lvl w:ilvl="8" w:tplc="0422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4FCC0F0F"/>
    <w:multiLevelType w:val="hybridMultilevel"/>
    <w:tmpl w:val="A860E508"/>
    <w:lvl w:ilvl="0" w:tplc="7FA0B0B8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BFC1E3B"/>
    <w:multiLevelType w:val="hybridMultilevel"/>
    <w:tmpl w:val="EBDE61A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96183"/>
    <w:multiLevelType w:val="hybridMultilevel"/>
    <w:tmpl w:val="4B148DF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776E3"/>
    <w:multiLevelType w:val="hybridMultilevel"/>
    <w:tmpl w:val="4D74BA0A"/>
    <w:lvl w:ilvl="0" w:tplc="7FA0B0B8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5260726"/>
    <w:multiLevelType w:val="hybridMultilevel"/>
    <w:tmpl w:val="CC742110"/>
    <w:lvl w:ilvl="0" w:tplc="7FA0B0B8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7F3"/>
    <w:rsid w:val="00070994"/>
    <w:rsid w:val="0017268D"/>
    <w:rsid w:val="001C4528"/>
    <w:rsid w:val="0024261E"/>
    <w:rsid w:val="002E3B52"/>
    <w:rsid w:val="003209F0"/>
    <w:rsid w:val="004524B3"/>
    <w:rsid w:val="00584E45"/>
    <w:rsid w:val="005C30FB"/>
    <w:rsid w:val="005E45B3"/>
    <w:rsid w:val="00675602"/>
    <w:rsid w:val="00695857"/>
    <w:rsid w:val="006C0E2D"/>
    <w:rsid w:val="0072138A"/>
    <w:rsid w:val="0096027C"/>
    <w:rsid w:val="00993B15"/>
    <w:rsid w:val="00B63AE0"/>
    <w:rsid w:val="00BD7406"/>
    <w:rsid w:val="00C967F3"/>
    <w:rsid w:val="00CF0158"/>
    <w:rsid w:val="00D402EE"/>
    <w:rsid w:val="00D66BA6"/>
    <w:rsid w:val="00E42003"/>
    <w:rsid w:val="00E75722"/>
    <w:rsid w:val="00E8472C"/>
    <w:rsid w:val="00F1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TTitel">
    <w:name w:val="??????? 1~LT~Titel"/>
    <w:uiPriority w:val="99"/>
    <w:rsid w:val="00C967F3"/>
    <w:pPr>
      <w:autoSpaceDE w:val="0"/>
      <w:autoSpaceDN w:val="0"/>
      <w:adjustRightInd w:val="0"/>
      <w:spacing w:after="0" w:line="240" w:lineRule="auto"/>
    </w:pPr>
    <w:rPr>
      <w:rFonts w:ascii="Arial" w:eastAsia="Microsoft YaHei" w:hAnsi="Arial" w:cs="Arial"/>
      <w:color w:val="000000"/>
      <w:kern w:val="1"/>
      <w:sz w:val="36"/>
      <w:szCs w:val="36"/>
    </w:rPr>
  </w:style>
  <w:style w:type="paragraph" w:styleId="a3">
    <w:name w:val="List Paragraph"/>
    <w:basedOn w:val="a"/>
    <w:uiPriority w:val="34"/>
    <w:qFormat/>
    <w:rsid w:val="001C4528"/>
    <w:pPr>
      <w:ind w:left="720"/>
      <w:contextualSpacing/>
    </w:pPr>
  </w:style>
  <w:style w:type="table" w:styleId="a4">
    <w:name w:val="Table Grid"/>
    <w:basedOn w:val="a1"/>
    <w:uiPriority w:val="39"/>
    <w:rsid w:val="006C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C0E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5">
    <w:name w:val="Normal (Web)"/>
    <w:basedOn w:val="a"/>
    <w:uiPriority w:val="99"/>
    <w:unhideWhenUsed/>
    <w:rsid w:val="006C0E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caption"/>
    <w:basedOn w:val="a"/>
    <w:next w:val="a"/>
    <w:uiPriority w:val="35"/>
    <w:unhideWhenUsed/>
    <w:qFormat/>
    <w:rsid w:val="0072138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F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LTTitel">
    <w:name w:val="??????? 1~LT~Titel"/>
    <w:uiPriority w:val="99"/>
    <w:rsid w:val="00C967F3"/>
    <w:pPr>
      <w:autoSpaceDE w:val="0"/>
      <w:autoSpaceDN w:val="0"/>
      <w:adjustRightInd w:val="0"/>
      <w:spacing w:after="0" w:line="240" w:lineRule="auto"/>
    </w:pPr>
    <w:rPr>
      <w:rFonts w:ascii="Arial" w:eastAsia="Microsoft YaHei" w:hAnsi="Arial" w:cs="Arial"/>
      <w:color w:val="000000"/>
      <w:kern w:val="1"/>
      <w:sz w:val="36"/>
      <w:szCs w:val="36"/>
    </w:rPr>
  </w:style>
  <w:style w:type="paragraph" w:styleId="a3">
    <w:name w:val="List Paragraph"/>
    <w:basedOn w:val="a"/>
    <w:uiPriority w:val="34"/>
    <w:qFormat/>
    <w:rsid w:val="001C4528"/>
    <w:pPr>
      <w:ind w:left="720"/>
      <w:contextualSpacing/>
    </w:pPr>
  </w:style>
  <w:style w:type="table" w:styleId="a4">
    <w:name w:val="Table Grid"/>
    <w:basedOn w:val="a1"/>
    <w:uiPriority w:val="39"/>
    <w:rsid w:val="006C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6C0E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5">
    <w:name w:val="Normal (Web)"/>
    <w:basedOn w:val="a"/>
    <w:uiPriority w:val="99"/>
    <w:unhideWhenUsed/>
    <w:rsid w:val="006C0E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caption"/>
    <w:basedOn w:val="a"/>
    <w:next w:val="a"/>
    <w:uiPriority w:val="35"/>
    <w:unhideWhenUsed/>
    <w:qFormat/>
    <w:rsid w:val="0072138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5639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638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5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7779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706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5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0982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54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427">
                      <w:marLeft w:val="240"/>
                      <w:marRight w:val="150"/>
                      <w:marTop w:val="9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865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2863</Words>
  <Characters>1633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dcterms:created xsi:type="dcterms:W3CDTF">2020-04-27T16:04:00Z</dcterms:created>
  <dcterms:modified xsi:type="dcterms:W3CDTF">2020-04-28T20:54:00Z</dcterms:modified>
</cp:coreProperties>
</file>