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DD8B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76" w:lineRule="auto"/>
        <w:jc w:val="center"/>
        <w:textAlignment w:val="auto"/>
        <w:rPr>
          <w:rFonts w:ascii="Times New Roman" w:hAnsi="Times New Roman"/>
        </w:rPr>
      </w:pPr>
      <w:r>
        <w:rPr>
          <w:rFonts w:ascii="Times New Roman" w:hAnsi="Times New Roman" w:eastAsia="黑体"/>
          <w:b/>
          <w:sz w:val="36"/>
        </w:rPr>
        <w:t>汕头大学实验报告</w:t>
      </w:r>
    </w:p>
    <w:p w14:paraId="7253F0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76" w:lineRule="auto"/>
        <w:ind w:firstLine="360" w:firstLineChars="200"/>
        <w:jc w:val="both"/>
        <w:textAlignment w:val="auto"/>
        <w:rPr>
          <w:rFonts w:ascii="Times New Roman" w:hAnsi="Times New Roman" w:eastAsia="宋体"/>
          <w:b w:val="0"/>
          <w:sz w:val="18"/>
        </w:rPr>
      </w:pPr>
      <w:r>
        <w:rPr>
          <w:rFonts w:ascii="Times New Roman" w:hAnsi="Times New Roman" w:eastAsia="宋体"/>
          <w:b w:val="0"/>
          <w:sz w:val="18"/>
        </w:rPr>
        <w:t xml:space="preserve">学院：数学与计算机学院    </w:t>
      </w:r>
      <w:r>
        <w:rPr>
          <w:rFonts w:hint="eastAsia" w:ascii="Times New Roman" w:hAnsi="Times New Roman"/>
          <w:b w:val="0"/>
          <w:sz w:val="18"/>
          <w:lang w:val="en-US" w:eastAsia="zh-CN"/>
        </w:rPr>
        <w:t xml:space="preserve">   </w:t>
      </w:r>
      <w:r>
        <w:rPr>
          <w:rFonts w:ascii="Times New Roman" w:hAnsi="Times New Roman" w:eastAsia="宋体"/>
          <w:b w:val="0"/>
          <w:sz w:val="18"/>
        </w:rPr>
        <w:t xml:space="preserve">   </w:t>
      </w:r>
      <w:r>
        <w:rPr>
          <w:rFonts w:hint="eastAsia" w:ascii="Times New Roman" w:hAnsi="Times New Roman"/>
          <w:b w:val="0"/>
          <w:sz w:val="18"/>
          <w:lang w:val="en-US" w:eastAsia="zh-CN"/>
        </w:rPr>
        <w:t xml:space="preserve">   </w:t>
      </w:r>
      <w:r>
        <w:rPr>
          <w:rFonts w:ascii="Times New Roman" w:hAnsi="Times New Roman" w:eastAsia="宋体"/>
          <w:b w:val="0"/>
          <w:sz w:val="18"/>
        </w:rPr>
        <w:t xml:space="preserve">  系：计算机系      </w:t>
      </w:r>
      <w:r>
        <w:rPr>
          <w:rFonts w:hint="eastAsia" w:ascii="Times New Roman" w:hAnsi="Times New Roman"/>
          <w:b w:val="0"/>
          <w:sz w:val="18"/>
          <w:lang w:val="en-US" w:eastAsia="zh-CN"/>
        </w:rPr>
        <w:t xml:space="preserve">        </w:t>
      </w:r>
      <w:r>
        <w:rPr>
          <w:rFonts w:ascii="Times New Roman" w:hAnsi="Times New Roman" w:eastAsia="宋体"/>
          <w:b w:val="0"/>
          <w:sz w:val="18"/>
        </w:rPr>
        <w:t xml:space="preserve">   专业：计算机科学与技术         成绩：________</w:t>
      </w:r>
    </w:p>
    <w:p w14:paraId="19A666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76" w:lineRule="auto"/>
        <w:ind w:firstLine="180" w:firstLineChars="100"/>
        <w:jc w:val="both"/>
        <w:textAlignment w:val="auto"/>
        <w:rPr>
          <w:rFonts w:ascii="Times New Roman" w:hAnsi="Times New Roman" w:eastAsia="宋体"/>
          <w:b w:val="0"/>
          <w:sz w:val="18"/>
        </w:rPr>
      </w:pPr>
    </w:p>
    <w:p w14:paraId="19423CE6">
      <w:pPr>
        <w:keepNext w:val="0"/>
        <w:keepLines w:val="0"/>
        <w:pageBreakBefore w:val="0"/>
        <w:widowControl/>
        <w:pBdr>
          <w:bottom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76" w:lineRule="auto"/>
        <w:jc w:val="center"/>
        <w:textAlignment w:val="auto"/>
        <w:rPr>
          <w:rFonts w:ascii="Times New Roman" w:hAnsi="Times New Roman"/>
        </w:rPr>
      </w:pPr>
      <w:r>
        <w:rPr>
          <w:rFonts w:ascii="Times New Roman" w:hAnsi="Times New Roman" w:eastAsia="宋体"/>
          <w:b w:val="0"/>
          <w:sz w:val="18"/>
        </w:rPr>
        <w:t xml:space="preserve">姓名：易雨杰(2024611209)、叶梅冰(2024611038)   实验时间：2026年10月30日 </w:t>
      </w:r>
      <w:r>
        <w:rPr>
          <w:rFonts w:hint="eastAsia" w:ascii="Times New Roman" w:hAnsi="Times New Roman"/>
          <w:b w:val="0"/>
          <w:sz w:val="18"/>
          <w:lang w:val="en-US" w:eastAsia="zh-CN"/>
        </w:rPr>
        <w:t xml:space="preserve"> </w:t>
      </w:r>
      <w:r>
        <w:rPr>
          <w:rFonts w:ascii="Times New Roman" w:hAnsi="Times New Roman" w:eastAsia="宋体"/>
          <w:b w:val="0"/>
          <w:sz w:val="18"/>
        </w:rPr>
        <w:t xml:space="preserve">  教师签字：____________</w:t>
      </w:r>
    </w:p>
    <w:p w14:paraId="7B7255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0" w:line="360" w:lineRule="auto"/>
        <w:jc w:val="center"/>
        <w:textAlignment w:val="auto"/>
        <w:rPr>
          <w:rFonts w:ascii="Times New Roman" w:hAnsi="Times New Roman"/>
        </w:rPr>
      </w:pPr>
      <w:r>
        <w:rPr>
          <w:rFonts w:ascii="Times New Roman" w:hAnsi="Times New Roman" w:eastAsia="黑体"/>
          <w:b/>
          <w:sz w:val="28"/>
        </w:rPr>
        <w:t>实验2 UML用例图及用例叙述</w:t>
      </w:r>
    </w:p>
    <w:p w14:paraId="394BE4AF">
      <w:pPr>
        <w:keepNext/>
        <w:spacing w:before="240"/>
        <w:rPr>
          <w:rFonts w:ascii="Times New Roman" w:hAnsi="Times New Roman"/>
        </w:rPr>
      </w:pPr>
      <w:r>
        <w:rPr>
          <w:rFonts w:ascii="Times New Roman" w:hAnsi="Times New Roman" w:eastAsia="黑体"/>
          <w:b/>
          <w:sz w:val="28"/>
        </w:rPr>
        <w:t>一、实验目的</w:t>
      </w:r>
    </w:p>
    <w:p w14:paraId="57B76353">
      <w:pPr>
        <w:rPr>
          <w:rFonts w:ascii="Times New Roman" w:hAnsi="Times New Roman"/>
        </w:rPr>
      </w:pPr>
      <w:r>
        <w:rPr>
          <w:rFonts w:ascii="Times New Roman" w:hAnsi="Times New Roman" w:eastAsia="宋体"/>
          <w:b w:val="0"/>
          <w:sz w:val="24"/>
        </w:rPr>
        <w:t>1.理解 UML 用例及用例图；理解参与者的概念；练习使用 StarUML 绘制出项目的系统 UML 图。</w:t>
      </w:r>
    </w:p>
    <w:p w14:paraId="5269C9B0">
      <w:pPr>
        <w:rPr>
          <w:rFonts w:ascii="Times New Roman" w:hAnsi="Times New Roman"/>
        </w:rPr>
      </w:pPr>
      <w:r>
        <w:rPr>
          <w:rFonts w:ascii="Times New Roman" w:hAnsi="Times New Roman" w:eastAsia="宋体"/>
          <w:b w:val="0"/>
          <w:sz w:val="24"/>
        </w:rPr>
        <w:t>2.理解用例图间的各种关系（包括关联关系、包含关系、扩展关系以及泛化关系）并标示出来。</w:t>
      </w:r>
    </w:p>
    <w:p w14:paraId="2E3EB0DD">
      <w:pPr>
        <w:rPr>
          <w:rFonts w:ascii="Times New Roman" w:hAnsi="Times New Roman"/>
        </w:rPr>
      </w:pPr>
      <w:r>
        <w:rPr>
          <w:rFonts w:ascii="Times New Roman" w:hAnsi="Times New Roman" w:eastAsia="宋体"/>
          <w:b w:val="0"/>
          <w:sz w:val="24"/>
        </w:rPr>
        <w:t>3.编写系统用例叙述。</w:t>
      </w:r>
    </w:p>
    <w:p w14:paraId="6B507AF0">
      <w:pPr>
        <w:keepNext/>
        <w:spacing w:before="240"/>
        <w:rPr>
          <w:rFonts w:ascii="Times New Roman" w:hAnsi="Times New Roman"/>
        </w:rPr>
      </w:pPr>
      <w:r>
        <w:rPr>
          <w:rFonts w:ascii="Times New Roman" w:hAnsi="Times New Roman" w:eastAsia="黑体"/>
          <w:b/>
          <w:sz w:val="28"/>
        </w:rPr>
        <w:t>二、实验要求</w:t>
      </w:r>
      <w:bookmarkStart w:id="0" w:name="_GoBack"/>
      <w:bookmarkEnd w:id="0"/>
    </w:p>
    <w:p w14:paraId="7079644D">
      <w:pPr>
        <w:rPr>
          <w:rFonts w:ascii="Times New Roman" w:hAnsi="Times New Roman"/>
        </w:rPr>
      </w:pPr>
      <w:r>
        <w:rPr>
          <w:rFonts w:ascii="Times New Roman" w:hAnsi="Times New Roman" w:eastAsia="宋体"/>
          <w:b w:val="0"/>
          <w:sz w:val="24"/>
        </w:rPr>
        <w:t>1.根据 CIM-1 总览版，使用 StarUML 绘制出包含完整关系的系统用例图。</w:t>
      </w:r>
    </w:p>
    <w:p w14:paraId="60BA5FA5">
      <w:pPr>
        <w:rPr>
          <w:rFonts w:ascii="Times New Roman" w:hAnsi="Times New Roman"/>
        </w:rPr>
      </w:pPr>
      <w:r>
        <w:rPr>
          <w:rFonts w:ascii="Times New Roman" w:hAnsi="Times New Roman" w:eastAsia="宋体"/>
          <w:b w:val="0"/>
          <w:sz w:val="24"/>
        </w:rPr>
        <w:t>2.补全被包含用例，画出包含、扩展与泛化关系。</w:t>
      </w:r>
    </w:p>
    <w:p w14:paraId="008EC341">
      <w:pPr>
        <w:rPr>
          <w:rFonts w:ascii="Times New Roman" w:hAnsi="Times New Roman"/>
        </w:rPr>
      </w:pPr>
      <w:r>
        <w:rPr>
          <w:rFonts w:ascii="Times New Roman" w:hAnsi="Times New Roman" w:eastAsia="宋体"/>
          <w:b w:val="0"/>
          <w:sz w:val="24"/>
        </w:rPr>
        <w:t>3.编写每个用例的详细叙述。</w:t>
      </w:r>
    </w:p>
    <w:p w14:paraId="4B18A3B7">
      <w:pPr>
        <w:keepNext/>
        <w:spacing w:before="240"/>
        <w:rPr>
          <w:rFonts w:ascii="Times New Roman" w:hAnsi="Times New Roman"/>
        </w:rPr>
      </w:pPr>
      <w:r>
        <w:rPr>
          <w:rFonts w:ascii="Times New Roman" w:hAnsi="Times New Roman" w:eastAsia="黑体"/>
          <w:b/>
          <w:sz w:val="28"/>
        </w:rPr>
        <w:t>三、主要实验工具</w:t>
      </w:r>
    </w:p>
    <w:p w14:paraId="367E7F5B">
      <w:pPr>
        <w:rPr>
          <w:rFonts w:ascii="Times New Roman" w:hAnsi="Times New Roman"/>
        </w:rPr>
      </w:pPr>
      <w:r>
        <w:rPr>
          <w:rFonts w:ascii="Times New Roman" w:hAnsi="Times New Roman" w:eastAsia="宋体"/>
          <w:b w:val="0"/>
          <w:sz w:val="24"/>
        </w:rPr>
        <w:t>● StarUML 5.0（with cm）：用于绘制并导出系统用例图。</w:t>
      </w:r>
    </w:p>
    <w:p w14:paraId="153FA52F">
      <w:pPr>
        <w:rPr>
          <w:rFonts w:hint="eastAsia"/>
          <w:b w:val="0"/>
          <w:sz w:val="24"/>
          <w:lang w:eastAsia="zh-CN"/>
        </w:rPr>
      </w:pPr>
      <w:r>
        <w:rPr>
          <w:rFonts w:ascii="Times New Roman" w:hAnsi="Times New Roman" w:eastAsia="宋体"/>
          <w:b w:val="0"/>
          <w:sz w:val="24"/>
        </w:rPr>
        <w:t>● Git / GitHub：版本控制与团队协作，主干 main</w:t>
      </w:r>
      <w:r>
        <w:rPr>
          <w:rFonts w:hint="eastAsia" w:ascii="Times New Roman" w:hAnsi="Times New Roman"/>
          <w:b w:val="0"/>
          <w:sz w:val="24"/>
          <w:lang w:eastAsia="zh-CN"/>
        </w:rPr>
        <w:t>，</w:t>
      </w:r>
      <w:r>
        <w:rPr>
          <w:rFonts w:ascii="宋体" w:hAnsi="宋体" w:eastAsia="宋体"/>
          <w:b w:val="0"/>
          <w:sz w:val="24"/>
        </w:rPr>
        <w:t>成员A（易雨杰）使用dev-A、成员B（叶梅冰）使用dev-B</w:t>
      </w:r>
      <w:r>
        <w:rPr>
          <w:rFonts w:hint="eastAsia"/>
          <w:b w:val="0"/>
          <w:sz w:val="24"/>
          <w:lang w:val="en-US" w:eastAsia="zh-CN"/>
        </w:rPr>
        <w:t>-new</w:t>
      </w:r>
      <w:r>
        <w:rPr>
          <w:rFonts w:hint="eastAsia"/>
          <w:b w:val="0"/>
          <w:sz w:val="24"/>
          <w:lang w:eastAsia="zh-CN"/>
        </w:rPr>
        <w:t>。</w:t>
      </w:r>
    </w:p>
    <w:p w14:paraId="547FDB17">
      <w:pPr>
        <w:rPr>
          <w:rFonts w:ascii="Times New Roman" w:hAnsi="Times New Roman"/>
        </w:rPr>
      </w:pPr>
      <w:r>
        <w:rPr>
          <w:rFonts w:ascii="Times New Roman" w:hAnsi="Times New Roman" w:eastAsia="宋体"/>
          <w:b w:val="0"/>
          <w:sz w:val="24"/>
        </w:rPr>
        <w:t>● Markdown / Microsoft Word：实验报告的排版与提交。</w:t>
      </w:r>
    </w:p>
    <w:p w14:paraId="06378D1D">
      <w:pPr>
        <w:keepNext/>
        <w:pageBreakBefore/>
        <w:spacing w:before="240"/>
        <w:rPr>
          <w:rFonts w:ascii="Times New Roman" w:hAnsi="Times New Roman"/>
        </w:rPr>
      </w:pPr>
      <w:r>
        <w:rPr>
          <w:rFonts w:ascii="Times New Roman" w:hAnsi="Times New Roman" w:eastAsia="黑体"/>
          <w:b/>
          <w:sz w:val="28"/>
        </w:rPr>
        <w:t>四、实验内容及实验数据记录</w:t>
      </w:r>
    </w:p>
    <w:p w14:paraId="0F6FC21F">
      <w:pPr>
        <w:keepNext/>
        <w:spacing w:before="0"/>
        <w:rPr>
          <w:rFonts w:ascii="Times New Roman" w:hAnsi="Times New Roman"/>
        </w:rPr>
      </w:pPr>
      <w:r>
        <w:rPr>
          <w:rFonts w:ascii="Times New Roman" w:hAnsi="Times New Roman" w:eastAsia="黑体"/>
          <w:b/>
          <w:sz w:val="24"/>
        </w:rPr>
        <w:t>（一）系统用例图</w:t>
      </w:r>
    </w:p>
    <w:p w14:paraId="1F2784EC">
      <w:pPr>
        <w:ind w:firstLine="720"/>
        <w:rPr>
          <w:rFonts w:ascii="Times New Roman" w:hAnsi="Times New Roman"/>
        </w:rPr>
      </w:pPr>
      <w:r>
        <w:rPr>
          <w:rFonts w:ascii="Times New Roman" w:hAnsi="Times New Roman" w:eastAsia="宋体"/>
          <w:b w:val="0"/>
          <w:sz w:val="24"/>
        </w:rPr>
        <w:t>在成员A提供的 CIM-1 系统用例总览图基础上，我进行了细化。补充了「登录」用例，并添加了 &lt;&lt;include&gt;&gt;、&lt;&lt;extend&gt;&gt; 以及参与者之间的泛化关系。</w:t>
      </w:r>
    </w:p>
    <w:p w14:paraId="057E0BC2">
      <w:pPr>
        <w:keepNext/>
        <w:spacing w:before="120" w:after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114300" distR="114300">
            <wp:extent cx="5198110" cy="41808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98400" cy="4181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193EE">
      <w:pPr>
        <w:jc w:val="center"/>
        <w:rPr>
          <w:rFonts w:ascii="Times New Roman" w:hAnsi="Times New Roman"/>
        </w:rPr>
      </w:pPr>
      <w:r>
        <w:rPr>
          <w:rFonts w:ascii="Times New Roman" w:hAnsi="Times New Roman" w:eastAsia="宋体"/>
          <w:b w:val="0"/>
          <w:sz w:val="18"/>
        </w:rPr>
        <w:t>图1 自习室预约管理子系统用例图</w:t>
      </w:r>
    </w:p>
    <w:p w14:paraId="1BE63910">
      <w:pPr>
        <w:keepNext/>
        <w:spacing w:before="240"/>
        <w:rPr>
          <w:rFonts w:ascii="Times New Roman" w:hAnsi="Times New Roman"/>
        </w:rPr>
      </w:pPr>
      <w:r>
        <w:rPr>
          <w:rFonts w:ascii="Times New Roman" w:hAnsi="Times New Roman" w:eastAsia="黑体"/>
          <w:b/>
          <w:sz w:val="24"/>
        </w:rPr>
        <w:t>（二）用例图关系说明</w:t>
      </w:r>
    </w:p>
    <w:p w14:paraId="61F1EA8D">
      <w:pPr>
        <w:rPr>
          <w:rFonts w:ascii="Times New Roman" w:hAnsi="Times New Roman"/>
        </w:rPr>
      </w:pPr>
      <w:r>
        <w:rPr>
          <w:rFonts w:ascii="Times New Roman" w:hAnsi="Times New Roman" w:eastAsia="宋体"/>
          <w:b w:val="0"/>
          <w:sz w:val="24"/>
        </w:rPr>
        <w:t>本图包含以下四类关系：</w:t>
      </w:r>
    </w:p>
    <w:p w14:paraId="392B0086">
      <w:pPr>
        <w:rPr>
          <w:rFonts w:ascii="Times New Roman" w:hAnsi="Times New Roman"/>
        </w:rPr>
      </w:pPr>
      <w:r>
        <w:rPr>
          <w:rFonts w:ascii="Times New Roman" w:hAnsi="Times New Roman" w:eastAsia="宋体"/>
          <w:b w:val="0"/>
          <w:sz w:val="24"/>
        </w:rPr>
        <w:t>1.关联关系（Association）：参与者与用例之间的连线。如「学生」关联「查询座位」、「值班管理员」关联「签到登记」。</w:t>
      </w:r>
    </w:p>
    <w:p w14:paraId="65900CE0">
      <w:pPr>
        <w:rPr>
          <w:rFonts w:ascii="Times New Roman" w:hAnsi="Times New Roman"/>
        </w:rPr>
      </w:pPr>
      <w:r>
        <w:rPr>
          <w:rFonts w:ascii="Times New Roman" w:hAnsi="Times New Roman" w:eastAsia="宋体"/>
          <w:b w:val="0"/>
          <w:sz w:val="24"/>
        </w:rPr>
        <w:t>2.泛化关系（Generalization）：参与者之间的继承关系。图中抽离出抽象参与者「用户」，学生、值班管理员、系统管理员均泛化自「用户」，共同继承「登录」用例，避免了用例的重复。</w:t>
      </w:r>
    </w:p>
    <w:p w14:paraId="6D58CA54">
      <w:pPr>
        <w:rPr>
          <w:rFonts w:ascii="Times New Roman" w:hAnsi="Times New Roman"/>
        </w:rPr>
      </w:pPr>
      <w:r>
        <w:rPr>
          <w:rFonts w:ascii="Times New Roman" w:hAnsi="Times New Roman" w:eastAsia="宋体"/>
          <w:b w:val="0"/>
          <w:sz w:val="24"/>
        </w:rPr>
        <w:t>3.包含关系（Include）：基用例必须执行的内部行为。如「在线预约」包含「校验座位与时段可用性」，「签到登记」包含「核验预约记录」，「签退释放」包含「判定超时并记录信用分扣减」。</w:t>
      </w:r>
    </w:p>
    <w:p w14:paraId="252D94CA">
      <w:pPr>
        <w:rPr>
          <w:rFonts w:ascii="Times New Roman" w:hAnsi="Times New Roman"/>
        </w:rPr>
      </w:pPr>
      <w:r>
        <w:rPr>
          <w:rFonts w:ascii="Times New Roman" w:hAnsi="Times New Roman" w:eastAsia="宋体"/>
          <w:b w:val="0"/>
          <w:sz w:val="24"/>
        </w:rPr>
        <w:t>4.扩展关系（Extend）：特定条件下才会发生的可选用例。如「取消预约」扩展自「在线预约」，扩展点为“预约成功后、签到前可取消”。</w:t>
      </w:r>
    </w:p>
    <w:p w14:paraId="3F502AEA">
      <w:pPr>
        <w:keepNext/>
        <w:spacing w:before="240"/>
        <w:rPr>
          <w:rFonts w:ascii="Times New Roman" w:hAnsi="Times New Roman"/>
        </w:rPr>
      </w:pPr>
      <w:r>
        <w:rPr>
          <w:rFonts w:ascii="Times New Roman" w:hAnsi="Times New Roman" w:eastAsia="黑体"/>
          <w:b/>
          <w:sz w:val="24"/>
        </w:rPr>
        <w:t>（三）用例叙述</w:t>
      </w:r>
    </w:p>
    <w:p w14:paraId="4C0A688D">
      <w:pPr>
        <w:keepNext/>
        <w:spacing w:before="120"/>
        <w:rPr>
          <w:rFonts w:ascii="Times New Roman" w:hAnsi="Times New Roman"/>
        </w:rPr>
      </w:pPr>
      <w:r>
        <w:rPr>
          <w:rFonts w:ascii="Times New Roman" w:hAnsi="Times New Roman" w:eastAsia="黑体"/>
          <w:b/>
          <w:sz w:val="24"/>
        </w:rPr>
        <w:t>1. 登录（Study-U01）</w:t>
      </w:r>
    </w:p>
    <w:tbl>
      <w:tblPr>
        <w:tblStyle w:val="33"/>
        <w:tblW w:w="907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272"/>
      </w:tblGrid>
      <w:tr w14:paraId="678490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00" w:type="dxa"/>
            <w:vAlign w:val="center"/>
          </w:tcPr>
          <w:p w14:paraId="016C29F2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/>
                <w:sz w:val="21"/>
              </w:rPr>
              <w:t>字段</w:t>
            </w:r>
          </w:p>
        </w:tc>
        <w:tc>
          <w:tcPr>
            <w:tcW w:w="7272" w:type="dxa"/>
            <w:vAlign w:val="center"/>
          </w:tcPr>
          <w:p w14:paraId="433B3F1B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/>
                <w:sz w:val="21"/>
              </w:rPr>
              <w:t>内容</w:t>
            </w:r>
          </w:p>
        </w:tc>
      </w:tr>
      <w:tr w14:paraId="27B0FA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2987C549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用例名称</w:t>
            </w:r>
          </w:p>
        </w:tc>
        <w:tc>
          <w:tcPr>
            <w:tcW w:w="7272" w:type="dxa"/>
            <w:vAlign w:val="center"/>
          </w:tcPr>
          <w:p w14:paraId="12769EB6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登录</w:t>
            </w:r>
          </w:p>
        </w:tc>
      </w:tr>
      <w:tr w14:paraId="7CC2BE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023580E7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标识符</w:t>
            </w:r>
          </w:p>
        </w:tc>
        <w:tc>
          <w:tcPr>
            <w:tcW w:w="7272" w:type="dxa"/>
            <w:vAlign w:val="center"/>
          </w:tcPr>
          <w:p w14:paraId="0BFB0BC3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Study-U01</w:t>
            </w:r>
          </w:p>
        </w:tc>
      </w:tr>
      <w:tr w14:paraId="6285C8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0CA8E70D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用例描述</w:t>
            </w:r>
          </w:p>
        </w:tc>
        <w:tc>
          <w:tcPr>
            <w:tcW w:w="7272" w:type="dxa"/>
            <w:vAlign w:val="center"/>
          </w:tcPr>
          <w:p w14:paraId="04B82811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用户通过账号密码进入系统，系统根据角色分配权限。</w:t>
            </w:r>
          </w:p>
        </w:tc>
      </w:tr>
      <w:tr w14:paraId="54E9D4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5C5C321D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参与者</w:t>
            </w:r>
          </w:p>
        </w:tc>
        <w:tc>
          <w:tcPr>
            <w:tcW w:w="7272" w:type="dxa"/>
            <w:vAlign w:val="center"/>
          </w:tcPr>
          <w:p w14:paraId="2D9F3A80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用户（学生、值班管理员、系统管理员）</w:t>
            </w:r>
          </w:p>
        </w:tc>
      </w:tr>
      <w:tr w14:paraId="04F386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7E1E545E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前置条件</w:t>
            </w:r>
          </w:p>
        </w:tc>
        <w:tc>
          <w:tcPr>
            <w:tcW w:w="7272" w:type="dxa"/>
            <w:vAlign w:val="center"/>
          </w:tcPr>
          <w:p w14:paraId="4AE39422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系统已启动并显示登录界面。</w:t>
            </w:r>
          </w:p>
        </w:tc>
      </w:tr>
      <w:tr w14:paraId="30B537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03942B4A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后置条件</w:t>
            </w:r>
          </w:p>
        </w:tc>
        <w:tc>
          <w:tcPr>
            <w:tcW w:w="7272" w:type="dxa"/>
            <w:vAlign w:val="center"/>
          </w:tcPr>
          <w:p w14:paraId="7315404E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成功登录，跳转至对应角色的主界面。</w:t>
            </w:r>
          </w:p>
        </w:tc>
      </w:tr>
      <w:tr w14:paraId="71516A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46B5CD86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基本操作流程</w:t>
            </w:r>
          </w:p>
        </w:tc>
        <w:tc>
          <w:tcPr>
            <w:tcW w:w="7272" w:type="dxa"/>
            <w:vAlign w:val="center"/>
          </w:tcPr>
          <w:p w14:paraId="3CC1D66B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1) 用户输入账号和密码。</w:t>
            </w:r>
            <w:r>
              <w:rPr>
                <w:rFonts w:ascii="Times New Roman" w:hAnsi="Times New Roman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21"/>
              </w:rPr>
              <w:t>2) 系统校验账号密码。</w:t>
            </w:r>
            <w:r>
              <w:rPr>
                <w:rFonts w:ascii="Times New Roman" w:hAnsi="Times New Roman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21"/>
              </w:rPr>
              <w:t>3) 验证通过，系统根据角色跳转至相应面板。</w:t>
            </w:r>
          </w:p>
        </w:tc>
      </w:tr>
      <w:tr w14:paraId="225D72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220B0A99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可选操作流程</w:t>
            </w:r>
          </w:p>
        </w:tc>
        <w:tc>
          <w:tcPr>
            <w:tcW w:w="7272" w:type="dxa"/>
            <w:vAlign w:val="center"/>
          </w:tcPr>
          <w:p w14:paraId="7F18B216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账号或密码错误，系统提示“登录失败”，要求重新输入。</w:t>
            </w:r>
          </w:p>
        </w:tc>
      </w:tr>
      <w:tr w14:paraId="3C6B67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60D261AE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被泛化的用例</w:t>
            </w:r>
          </w:p>
        </w:tc>
        <w:tc>
          <w:tcPr>
            <w:tcW w:w="7272" w:type="dxa"/>
            <w:vAlign w:val="center"/>
          </w:tcPr>
          <w:p w14:paraId="22954D64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</w:tr>
      <w:tr w14:paraId="0332B5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78DEF01E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被包含的用例</w:t>
            </w:r>
          </w:p>
        </w:tc>
        <w:tc>
          <w:tcPr>
            <w:tcW w:w="7272" w:type="dxa"/>
            <w:vAlign w:val="center"/>
          </w:tcPr>
          <w:p w14:paraId="67584B4F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</w:tr>
      <w:tr w14:paraId="578444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7F5FD26A">
            <w:pPr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被扩展的用例</w:t>
            </w:r>
          </w:p>
        </w:tc>
        <w:tc>
          <w:tcPr>
            <w:tcW w:w="7272" w:type="dxa"/>
            <w:vAlign w:val="center"/>
          </w:tcPr>
          <w:p w14:paraId="666BC5BE">
            <w:pPr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</w:tr>
    </w:tbl>
    <w:p w14:paraId="06BD4A1B">
      <w:pPr>
        <w:keepNext/>
        <w:spacing w:before="240"/>
        <w:rPr>
          <w:rFonts w:ascii="Times New Roman" w:hAnsi="Times New Roman"/>
        </w:rPr>
      </w:pPr>
      <w:r>
        <w:rPr>
          <w:rFonts w:ascii="Times New Roman" w:hAnsi="Times New Roman" w:eastAsia="黑体"/>
          <w:b/>
          <w:sz w:val="24"/>
        </w:rPr>
        <w:t>2. 查询座位（Study-C01）</w:t>
      </w:r>
    </w:p>
    <w:tbl>
      <w:tblPr>
        <w:tblStyle w:val="33"/>
        <w:tblW w:w="907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272"/>
      </w:tblGrid>
      <w:tr w14:paraId="7A8BB8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00" w:type="dxa"/>
            <w:vAlign w:val="center"/>
          </w:tcPr>
          <w:p w14:paraId="3522B797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/>
                <w:sz w:val="21"/>
              </w:rPr>
              <w:t>字段</w:t>
            </w:r>
          </w:p>
        </w:tc>
        <w:tc>
          <w:tcPr>
            <w:tcW w:w="7272" w:type="dxa"/>
            <w:vAlign w:val="center"/>
          </w:tcPr>
          <w:p w14:paraId="4D1D3C80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/>
                <w:sz w:val="21"/>
              </w:rPr>
              <w:t>内容</w:t>
            </w:r>
          </w:p>
        </w:tc>
      </w:tr>
      <w:tr w14:paraId="6D1D4D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365A900E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用例名称</w:t>
            </w:r>
          </w:p>
        </w:tc>
        <w:tc>
          <w:tcPr>
            <w:tcW w:w="7272" w:type="dxa"/>
            <w:vAlign w:val="center"/>
          </w:tcPr>
          <w:p w14:paraId="0867615D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查询座位</w:t>
            </w:r>
          </w:p>
        </w:tc>
      </w:tr>
      <w:tr w14:paraId="78D839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6B4F2215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标识符</w:t>
            </w:r>
          </w:p>
        </w:tc>
        <w:tc>
          <w:tcPr>
            <w:tcW w:w="7272" w:type="dxa"/>
            <w:vAlign w:val="center"/>
          </w:tcPr>
          <w:p w14:paraId="0E2ADE2A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Study-C01</w:t>
            </w:r>
          </w:p>
        </w:tc>
      </w:tr>
      <w:tr w14:paraId="2F6BBC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56A5F781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用例描述</w:t>
            </w:r>
          </w:p>
        </w:tc>
        <w:tc>
          <w:tcPr>
            <w:tcW w:w="7272" w:type="dxa"/>
            <w:vAlign w:val="center"/>
          </w:tcPr>
          <w:p w14:paraId="73309F8B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学生按日期、时间段与座位区域查询可用座位数量及占用状态。</w:t>
            </w:r>
          </w:p>
        </w:tc>
      </w:tr>
      <w:tr w14:paraId="6349AA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5BCF1D80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参与者</w:t>
            </w:r>
          </w:p>
        </w:tc>
        <w:tc>
          <w:tcPr>
            <w:tcW w:w="7272" w:type="dxa"/>
            <w:vAlign w:val="center"/>
          </w:tcPr>
          <w:p w14:paraId="09CF2148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学生</w:t>
            </w:r>
          </w:p>
        </w:tc>
      </w:tr>
      <w:tr w14:paraId="23D310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14DEC85D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前置条件</w:t>
            </w:r>
          </w:p>
        </w:tc>
        <w:tc>
          <w:tcPr>
            <w:tcW w:w="7272" w:type="dxa"/>
            <w:vAlign w:val="center"/>
          </w:tcPr>
          <w:p w14:paraId="1D43FA5A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学生已登录系统。</w:t>
            </w:r>
          </w:p>
        </w:tc>
      </w:tr>
      <w:tr w14:paraId="5E13B9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5A62373B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后置条件</w:t>
            </w:r>
          </w:p>
        </w:tc>
        <w:tc>
          <w:tcPr>
            <w:tcW w:w="7272" w:type="dxa"/>
            <w:vAlign w:val="center"/>
          </w:tcPr>
          <w:p w14:paraId="21F341B6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系统返回符合条件的可用座位列表。</w:t>
            </w:r>
          </w:p>
        </w:tc>
      </w:tr>
      <w:tr w14:paraId="1B3ACA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3E7B35FD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基本操作流程</w:t>
            </w:r>
          </w:p>
        </w:tc>
        <w:tc>
          <w:tcPr>
            <w:tcW w:w="7272" w:type="dxa"/>
            <w:vAlign w:val="center"/>
          </w:tcPr>
          <w:p w14:paraId="00A50CA9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1) 学生选择查询日期、时间段及意向区域。</w:t>
            </w:r>
            <w:r>
              <w:rPr>
                <w:rFonts w:ascii="Times New Roman" w:hAnsi="Times New Roman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21"/>
              </w:rPr>
              <w:t>2) 系统查询该时间段内空闲的座位。</w:t>
            </w:r>
            <w:r>
              <w:rPr>
                <w:rFonts w:ascii="Times New Roman" w:hAnsi="Times New Roman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21"/>
              </w:rPr>
              <w:t>3) 系统展示可用座位及占用状态。</w:t>
            </w:r>
          </w:p>
        </w:tc>
      </w:tr>
      <w:tr w14:paraId="07C073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5E41F62D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可选操作流程</w:t>
            </w:r>
          </w:p>
        </w:tc>
        <w:tc>
          <w:tcPr>
            <w:tcW w:w="7272" w:type="dxa"/>
            <w:vAlign w:val="center"/>
          </w:tcPr>
          <w:p w14:paraId="417291E1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1) 该时间段座位不可使用（已被预约、使用中或维修中），系统提示“该时段无可用座位”。</w:t>
            </w:r>
          </w:p>
        </w:tc>
      </w:tr>
      <w:tr w14:paraId="6BC50F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2715B306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被泛化的用例</w:t>
            </w:r>
          </w:p>
        </w:tc>
        <w:tc>
          <w:tcPr>
            <w:tcW w:w="7272" w:type="dxa"/>
            <w:vAlign w:val="center"/>
          </w:tcPr>
          <w:p w14:paraId="291444C4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</w:tr>
      <w:tr w14:paraId="2ED811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035D4BA4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被包含的用例</w:t>
            </w:r>
          </w:p>
        </w:tc>
        <w:tc>
          <w:tcPr>
            <w:tcW w:w="7272" w:type="dxa"/>
            <w:vAlign w:val="center"/>
          </w:tcPr>
          <w:p w14:paraId="631DA2C1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</w:tr>
      <w:tr w14:paraId="73C766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1C94BD5A">
            <w:pPr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被扩展的用例</w:t>
            </w:r>
          </w:p>
        </w:tc>
        <w:tc>
          <w:tcPr>
            <w:tcW w:w="7272" w:type="dxa"/>
            <w:vAlign w:val="center"/>
          </w:tcPr>
          <w:p w14:paraId="2E63DF6F">
            <w:pPr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</w:tr>
    </w:tbl>
    <w:p w14:paraId="1A1D1B0A">
      <w:pPr>
        <w:keepNext/>
        <w:spacing w:before="240"/>
        <w:rPr>
          <w:rFonts w:ascii="Times New Roman" w:hAnsi="Times New Roman"/>
        </w:rPr>
      </w:pPr>
      <w:r>
        <w:rPr>
          <w:rFonts w:ascii="Times New Roman" w:hAnsi="Times New Roman" w:eastAsia="黑体"/>
          <w:b/>
          <w:sz w:val="24"/>
        </w:rPr>
        <w:t>3. 在线预约（Study-C02）</w:t>
      </w:r>
    </w:p>
    <w:tbl>
      <w:tblPr>
        <w:tblStyle w:val="33"/>
        <w:tblW w:w="907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272"/>
      </w:tblGrid>
      <w:tr w14:paraId="20C98F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00" w:type="dxa"/>
            <w:vAlign w:val="center"/>
          </w:tcPr>
          <w:p w14:paraId="7A0F5742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/>
                <w:sz w:val="21"/>
              </w:rPr>
              <w:t>字段</w:t>
            </w:r>
          </w:p>
        </w:tc>
        <w:tc>
          <w:tcPr>
            <w:tcW w:w="7272" w:type="dxa"/>
            <w:vAlign w:val="center"/>
          </w:tcPr>
          <w:p w14:paraId="01362359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/>
                <w:sz w:val="21"/>
              </w:rPr>
              <w:t>内容</w:t>
            </w:r>
          </w:p>
        </w:tc>
      </w:tr>
      <w:tr w14:paraId="7981A7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369BEE99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用例名称</w:t>
            </w:r>
          </w:p>
        </w:tc>
        <w:tc>
          <w:tcPr>
            <w:tcW w:w="7272" w:type="dxa"/>
            <w:vAlign w:val="center"/>
          </w:tcPr>
          <w:p w14:paraId="22C2D18D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在线预约</w:t>
            </w:r>
          </w:p>
        </w:tc>
      </w:tr>
      <w:tr w14:paraId="5AED57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0DFAA961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标识符</w:t>
            </w:r>
          </w:p>
        </w:tc>
        <w:tc>
          <w:tcPr>
            <w:tcW w:w="7272" w:type="dxa"/>
            <w:vAlign w:val="center"/>
          </w:tcPr>
          <w:p w14:paraId="475ADE4B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Study-C02</w:t>
            </w:r>
          </w:p>
        </w:tc>
      </w:tr>
      <w:tr w14:paraId="616939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4842AC2A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用例描述</w:t>
            </w:r>
          </w:p>
        </w:tc>
        <w:tc>
          <w:tcPr>
            <w:tcW w:w="7272" w:type="dxa"/>
            <w:vAlign w:val="center"/>
          </w:tcPr>
          <w:p w14:paraId="16205579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学生选择座位与时间段提交预约，校验信用分达标与座位可用后生成预约号。</w:t>
            </w:r>
          </w:p>
        </w:tc>
      </w:tr>
      <w:tr w14:paraId="3075E3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3E7DEC47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参与者</w:t>
            </w:r>
          </w:p>
        </w:tc>
        <w:tc>
          <w:tcPr>
            <w:tcW w:w="7272" w:type="dxa"/>
            <w:vAlign w:val="center"/>
          </w:tcPr>
          <w:p w14:paraId="21AD294D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学生</w:t>
            </w:r>
          </w:p>
        </w:tc>
      </w:tr>
      <w:tr w14:paraId="0B2245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27D89F77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前置条件</w:t>
            </w:r>
          </w:p>
        </w:tc>
        <w:tc>
          <w:tcPr>
            <w:tcW w:w="7272" w:type="dxa"/>
            <w:vAlign w:val="center"/>
          </w:tcPr>
          <w:p w14:paraId="2C667874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学生已登录，且当前信用分 ≥ 80 分。</w:t>
            </w:r>
          </w:p>
        </w:tc>
      </w:tr>
      <w:tr w14:paraId="3B87A3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77F46AF4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后置条件</w:t>
            </w:r>
          </w:p>
        </w:tc>
        <w:tc>
          <w:tcPr>
            <w:tcW w:w="7272" w:type="dxa"/>
            <w:vAlign w:val="center"/>
          </w:tcPr>
          <w:p w14:paraId="45BD5042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系统生成预约记录，座位状态更新为“已预约”。</w:t>
            </w:r>
          </w:p>
        </w:tc>
      </w:tr>
      <w:tr w14:paraId="548628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2C44D0DF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基本操作流程</w:t>
            </w:r>
          </w:p>
        </w:tc>
        <w:tc>
          <w:tcPr>
            <w:tcW w:w="7272" w:type="dxa"/>
            <w:vAlign w:val="center"/>
          </w:tcPr>
          <w:p w14:paraId="028F5AEB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1) 学生选择具体座位并点击预约。</w:t>
            </w:r>
            <w:r>
              <w:rPr>
                <w:rFonts w:ascii="Times New Roman" w:hAnsi="Times New Roman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21"/>
              </w:rPr>
              <w:t>2) 系统校验学生信用分是否达标。</w:t>
            </w:r>
            <w:r>
              <w:rPr>
                <w:rFonts w:ascii="Times New Roman" w:hAnsi="Times New Roman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21"/>
              </w:rPr>
              <w:t>3) 系统执行“校验座位与时段可用性”。</w:t>
            </w:r>
            <w:r>
              <w:rPr>
                <w:rFonts w:ascii="Times New Roman" w:hAnsi="Times New Roman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21"/>
              </w:rPr>
              <w:t>4) 学生确认预约信息并提交。</w:t>
            </w:r>
            <w:r>
              <w:rPr>
                <w:rFonts w:ascii="Times New Roman" w:hAnsi="Times New Roman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21"/>
              </w:rPr>
              <w:t>5) 系统生成唯一预约号，保存记录并将座位状态置为“已预约”。</w:t>
            </w:r>
          </w:p>
        </w:tc>
      </w:tr>
      <w:tr w14:paraId="391A81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1F304B84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可选操作流程</w:t>
            </w:r>
          </w:p>
        </w:tc>
        <w:tc>
          <w:tcPr>
            <w:tcW w:w="7272" w:type="dxa"/>
            <w:vAlign w:val="center"/>
          </w:tcPr>
          <w:p w14:paraId="0881AB0E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1) 信用分低于80，系统提示“信用分不足，禁止预约”。</w:t>
            </w:r>
            <w:r>
              <w:rPr>
                <w:rFonts w:ascii="Times New Roman" w:hAnsi="Times New Roman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21"/>
              </w:rPr>
              <w:t>2) 提交瞬间座位被他人抢约，提示“预约失败，座位已被占用”。</w:t>
            </w:r>
          </w:p>
        </w:tc>
      </w:tr>
      <w:tr w14:paraId="2821BC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2F260D8F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被泛化的用例</w:t>
            </w:r>
          </w:p>
        </w:tc>
        <w:tc>
          <w:tcPr>
            <w:tcW w:w="7272" w:type="dxa"/>
            <w:vAlign w:val="center"/>
          </w:tcPr>
          <w:p w14:paraId="5AF73F03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</w:tr>
      <w:tr w14:paraId="5BB136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5C9DC9F0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被包含的用例</w:t>
            </w:r>
          </w:p>
        </w:tc>
        <w:tc>
          <w:tcPr>
            <w:tcW w:w="7272" w:type="dxa"/>
            <w:vAlign w:val="center"/>
          </w:tcPr>
          <w:p w14:paraId="338DFDCB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校验座位与时段可用性</w:t>
            </w:r>
          </w:p>
        </w:tc>
      </w:tr>
      <w:tr w14:paraId="17CE3F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6D267B7A">
            <w:pPr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被扩展的用例</w:t>
            </w:r>
          </w:p>
        </w:tc>
        <w:tc>
          <w:tcPr>
            <w:tcW w:w="7272" w:type="dxa"/>
            <w:vAlign w:val="center"/>
          </w:tcPr>
          <w:p w14:paraId="4AC88E38">
            <w:pPr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取消预约（扩展点：预约成功后、签到前可取消）</w:t>
            </w:r>
          </w:p>
        </w:tc>
      </w:tr>
    </w:tbl>
    <w:p w14:paraId="1AAED365">
      <w:pPr>
        <w:keepNext/>
        <w:spacing w:before="240"/>
        <w:rPr>
          <w:rFonts w:ascii="Times New Roman" w:hAnsi="Times New Roman"/>
        </w:rPr>
      </w:pPr>
      <w:r>
        <w:rPr>
          <w:rFonts w:ascii="Times New Roman" w:hAnsi="Times New Roman" w:eastAsia="黑体"/>
          <w:b/>
          <w:sz w:val="24"/>
        </w:rPr>
        <w:t>4. 取消预约（Study-C03）</w:t>
      </w:r>
    </w:p>
    <w:tbl>
      <w:tblPr>
        <w:tblStyle w:val="33"/>
        <w:tblW w:w="907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272"/>
      </w:tblGrid>
      <w:tr w14:paraId="53506F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00" w:type="dxa"/>
            <w:vAlign w:val="center"/>
          </w:tcPr>
          <w:p w14:paraId="1158C8AF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/>
                <w:sz w:val="21"/>
              </w:rPr>
              <w:t>字段</w:t>
            </w:r>
          </w:p>
        </w:tc>
        <w:tc>
          <w:tcPr>
            <w:tcW w:w="7272" w:type="dxa"/>
            <w:vAlign w:val="center"/>
          </w:tcPr>
          <w:p w14:paraId="32B65C9E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/>
                <w:sz w:val="21"/>
              </w:rPr>
              <w:t>内容</w:t>
            </w:r>
          </w:p>
        </w:tc>
      </w:tr>
      <w:tr w14:paraId="5097FD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54463AA7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用例名称</w:t>
            </w:r>
          </w:p>
        </w:tc>
        <w:tc>
          <w:tcPr>
            <w:tcW w:w="7272" w:type="dxa"/>
            <w:vAlign w:val="center"/>
          </w:tcPr>
          <w:p w14:paraId="4DBDC4EC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取消预约</w:t>
            </w:r>
          </w:p>
        </w:tc>
      </w:tr>
      <w:tr w14:paraId="30F967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593A2F4C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标识符</w:t>
            </w:r>
          </w:p>
        </w:tc>
        <w:tc>
          <w:tcPr>
            <w:tcW w:w="7272" w:type="dxa"/>
            <w:vAlign w:val="center"/>
          </w:tcPr>
          <w:p w14:paraId="545143D6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Study-C03</w:t>
            </w:r>
          </w:p>
        </w:tc>
      </w:tr>
      <w:tr w14:paraId="513E1D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6BBBE698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用例描述</w:t>
            </w:r>
          </w:p>
        </w:tc>
        <w:tc>
          <w:tcPr>
            <w:tcW w:w="7272" w:type="dxa"/>
            <w:vAlign w:val="center"/>
          </w:tcPr>
          <w:p w14:paraId="400FCA79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学生在签到前取消未使用的预约，系统更新状态并释放座位。</w:t>
            </w:r>
          </w:p>
        </w:tc>
      </w:tr>
      <w:tr w14:paraId="08B360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40220E58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参与者</w:t>
            </w:r>
          </w:p>
        </w:tc>
        <w:tc>
          <w:tcPr>
            <w:tcW w:w="7272" w:type="dxa"/>
            <w:vAlign w:val="center"/>
          </w:tcPr>
          <w:p w14:paraId="5C152D9A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学生</w:t>
            </w:r>
          </w:p>
        </w:tc>
      </w:tr>
      <w:tr w14:paraId="544FC4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736B61B1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前置条件</w:t>
            </w:r>
          </w:p>
        </w:tc>
        <w:tc>
          <w:tcPr>
            <w:tcW w:w="7272" w:type="dxa"/>
            <w:vAlign w:val="center"/>
          </w:tcPr>
          <w:p w14:paraId="1DE50087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存在状态为“已预约”且尚未签到的记录。</w:t>
            </w:r>
          </w:p>
        </w:tc>
      </w:tr>
      <w:tr w14:paraId="3799A8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4588FEB3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后置条件</w:t>
            </w:r>
          </w:p>
        </w:tc>
        <w:tc>
          <w:tcPr>
            <w:tcW w:w="7272" w:type="dxa"/>
            <w:vAlign w:val="center"/>
          </w:tcPr>
          <w:p w14:paraId="2BAA1787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预约状态更新为“已取消”，系统释放该座位。</w:t>
            </w:r>
          </w:p>
        </w:tc>
      </w:tr>
      <w:tr w14:paraId="7591BB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67BE9B5B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基本操作流程</w:t>
            </w:r>
          </w:p>
        </w:tc>
        <w:tc>
          <w:tcPr>
            <w:tcW w:w="7272" w:type="dxa"/>
            <w:vAlign w:val="center"/>
          </w:tcPr>
          <w:p w14:paraId="5965E6D5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1) 学生选择要取消的预约记录。</w:t>
            </w:r>
            <w:r>
              <w:rPr>
                <w:rFonts w:ascii="Times New Roman" w:hAnsi="Times New Roman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21"/>
              </w:rPr>
              <w:t>2) 系统校验该记录是否处于“可取消”状态。</w:t>
            </w:r>
            <w:r>
              <w:rPr>
                <w:rFonts w:ascii="Times New Roman" w:hAnsi="Times New Roman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21"/>
              </w:rPr>
              <w:t>3) 系统将预约状态改为“已取消”，并释放座位。</w:t>
            </w:r>
          </w:p>
        </w:tc>
      </w:tr>
      <w:tr w14:paraId="2338CA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3FEA0B93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可选操作流程</w:t>
            </w:r>
          </w:p>
        </w:tc>
        <w:tc>
          <w:tcPr>
            <w:tcW w:w="7272" w:type="dxa"/>
            <w:vAlign w:val="center"/>
          </w:tcPr>
          <w:p w14:paraId="2E17D947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1) 已超过预约的签到时间，系统提示“已过签到时间，无法取消预约”（按爽约处理）。</w:t>
            </w:r>
          </w:p>
        </w:tc>
      </w:tr>
      <w:tr w14:paraId="07FD61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14EDA3A6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被泛化的用例</w:t>
            </w:r>
          </w:p>
        </w:tc>
        <w:tc>
          <w:tcPr>
            <w:tcW w:w="7272" w:type="dxa"/>
            <w:vAlign w:val="center"/>
          </w:tcPr>
          <w:p w14:paraId="63FFD463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</w:tr>
      <w:tr w14:paraId="39F00A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5A477036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被包含的用例</w:t>
            </w:r>
          </w:p>
        </w:tc>
        <w:tc>
          <w:tcPr>
            <w:tcW w:w="7272" w:type="dxa"/>
            <w:vAlign w:val="center"/>
          </w:tcPr>
          <w:p w14:paraId="0F0B6C91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</w:tr>
      <w:tr w14:paraId="7B92C5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7AC7D821">
            <w:pPr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被扩展的用例</w:t>
            </w:r>
          </w:p>
        </w:tc>
        <w:tc>
          <w:tcPr>
            <w:tcW w:w="7272" w:type="dxa"/>
            <w:vAlign w:val="center"/>
          </w:tcPr>
          <w:p w14:paraId="06263E8D">
            <w:pPr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无（本用例扩展自“在线预约”）</w:t>
            </w:r>
          </w:p>
        </w:tc>
      </w:tr>
    </w:tbl>
    <w:p w14:paraId="55DD4E4F">
      <w:pPr>
        <w:keepNext/>
        <w:spacing w:before="240"/>
        <w:rPr>
          <w:rFonts w:ascii="Times New Roman" w:hAnsi="Times New Roman"/>
        </w:rPr>
      </w:pPr>
      <w:r>
        <w:rPr>
          <w:rFonts w:ascii="Times New Roman" w:hAnsi="Times New Roman" w:eastAsia="黑体"/>
          <w:b/>
          <w:sz w:val="24"/>
        </w:rPr>
        <w:t>5. 签到登记（Study-F01）</w:t>
      </w:r>
    </w:p>
    <w:tbl>
      <w:tblPr>
        <w:tblStyle w:val="33"/>
        <w:tblW w:w="907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272"/>
      </w:tblGrid>
      <w:tr w14:paraId="662DEA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  <w:tblHeader/>
          <w:jc w:val="center"/>
        </w:trPr>
        <w:tc>
          <w:tcPr>
            <w:tcW w:w="1800" w:type="dxa"/>
            <w:vAlign w:val="center"/>
          </w:tcPr>
          <w:p w14:paraId="50083214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/>
                <w:sz w:val="21"/>
              </w:rPr>
              <w:t>字段</w:t>
            </w:r>
          </w:p>
        </w:tc>
        <w:tc>
          <w:tcPr>
            <w:tcW w:w="7272" w:type="dxa"/>
            <w:vAlign w:val="center"/>
          </w:tcPr>
          <w:p w14:paraId="279935C2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/>
                <w:sz w:val="21"/>
              </w:rPr>
              <w:t>内容</w:t>
            </w:r>
          </w:p>
        </w:tc>
      </w:tr>
      <w:tr w14:paraId="51E342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2F900F75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用例名称</w:t>
            </w:r>
          </w:p>
        </w:tc>
        <w:tc>
          <w:tcPr>
            <w:tcW w:w="7272" w:type="dxa"/>
            <w:vAlign w:val="center"/>
          </w:tcPr>
          <w:p w14:paraId="1264CF4B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签到登记</w:t>
            </w:r>
          </w:p>
        </w:tc>
      </w:tr>
      <w:tr w14:paraId="4E2D58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6454FDD4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标识符</w:t>
            </w:r>
          </w:p>
        </w:tc>
        <w:tc>
          <w:tcPr>
            <w:tcW w:w="7272" w:type="dxa"/>
            <w:vAlign w:val="center"/>
          </w:tcPr>
          <w:p w14:paraId="079AEDC1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Study-F01</w:t>
            </w:r>
          </w:p>
        </w:tc>
      </w:tr>
      <w:tr w14:paraId="716553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424A5E8A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用例描述</w:t>
            </w:r>
          </w:p>
        </w:tc>
        <w:tc>
          <w:tcPr>
            <w:tcW w:w="7272" w:type="dxa"/>
            <w:vAlign w:val="center"/>
          </w:tcPr>
          <w:p w14:paraId="27C09905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值班管理员核验预约记录与学生证件，登记签到并将座位置为使用中。</w:t>
            </w:r>
          </w:p>
        </w:tc>
      </w:tr>
      <w:tr w14:paraId="105695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665EDA98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参与者</w:t>
            </w:r>
          </w:p>
        </w:tc>
        <w:tc>
          <w:tcPr>
            <w:tcW w:w="7272" w:type="dxa"/>
            <w:vAlign w:val="center"/>
          </w:tcPr>
          <w:p w14:paraId="10EC0525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值班管理员</w:t>
            </w:r>
          </w:p>
        </w:tc>
      </w:tr>
      <w:tr w14:paraId="1307A2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405FA571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前置条件</w:t>
            </w:r>
          </w:p>
        </w:tc>
        <w:tc>
          <w:tcPr>
            <w:tcW w:w="7272" w:type="dxa"/>
            <w:vAlign w:val="center"/>
          </w:tcPr>
          <w:p w14:paraId="240A8FCB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学生到达自习室，且存在有效预约。</w:t>
            </w:r>
          </w:p>
        </w:tc>
      </w:tr>
      <w:tr w14:paraId="732A4B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485C004F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后置条件</w:t>
            </w:r>
          </w:p>
        </w:tc>
        <w:tc>
          <w:tcPr>
            <w:tcW w:w="7272" w:type="dxa"/>
            <w:vAlign w:val="center"/>
          </w:tcPr>
          <w:p w14:paraId="404E8982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预约状态变更为“已签到”，座位状态变更为“使用中”。</w:t>
            </w:r>
          </w:p>
        </w:tc>
      </w:tr>
      <w:tr w14:paraId="695A79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3CEA1331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基本操作流程</w:t>
            </w:r>
          </w:p>
        </w:tc>
        <w:tc>
          <w:tcPr>
            <w:tcW w:w="7272" w:type="dxa"/>
            <w:vAlign w:val="center"/>
          </w:tcPr>
          <w:p w14:paraId="2A55D8EA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1) 值班管理员输入学生预约号。</w:t>
            </w:r>
            <w:r>
              <w:rPr>
                <w:rFonts w:ascii="Times New Roman" w:hAnsi="Times New Roman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21"/>
              </w:rPr>
              <w:t>2) 系统执行“核验预约记录”。</w:t>
            </w:r>
            <w:r>
              <w:rPr>
                <w:rFonts w:ascii="Times New Roman" w:hAnsi="Times New Roman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21"/>
              </w:rPr>
              <w:t>3) 管理员核对预约状态并登记。</w:t>
            </w:r>
            <w:r>
              <w:rPr>
                <w:rFonts w:ascii="Times New Roman" w:hAnsi="Times New Roman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21"/>
              </w:rPr>
              <w:t>4) 系统将预约状态改为“已签到”，座位状态改为“使用中”。</w:t>
            </w:r>
          </w:p>
        </w:tc>
      </w:tr>
      <w:tr w14:paraId="0030DD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5BCBCBAB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可选操作流程</w:t>
            </w:r>
          </w:p>
        </w:tc>
        <w:tc>
          <w:tcPr>
            <w:tcW w:w="7272" w:type="dxa"/>
            <w:vAlign w:val="center"/>
          </w:tcPr>
          <w:p w14:paraId="0114258F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1) 预约不存在或状态异常，系统提示“无有效预约信息”。</w:t>
            </w:r>
            <w:r>
              <w:rPr>
                <w:rFonts w:ascii="Times New Roman" w:hAnsi="Times New Roman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21"/>
              </w:rPr>
              <w:t>2) 学生证件不符，拒绝签到。</w:t>
            </w:r>
          </w:p>
        </w:tc>
      </w:tr>
      <w:tr w14:paraId="1EDBA0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09DEB9B1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被泛化的用例</w:t>
            </w:r>
          </w:p>
        </w:tc>
        <w:tc>
          <w:tcPr>
            <w:tcW w:w="7272" w:type="dxa"/>
            <w:vAlign w:val="center"/>
          </w:tcPr>
          <w:p w14:paraId="2647A52A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</w:tr>
      <w:tr w14:paraId="4D562E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6FCC72EA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被包含的用例</w:t>
            </w:r>
          </w:p>
        </w:tc>
        <w:tc>
          <w:tcPr>
            <w:tcW w:w="7272" w:type="dxa"/>
            <w:vAlign w:val="center"/>
          </w:tcPr>
          <w:p w14:paraId="7F1F88EE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核验预约记录</w:t>
            </w:r>
          </w:p>
        </w:tc>
      </w:tr>
      <w:tr w14:paraId="6E50D1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4BDC069B">
            <w:pPr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被扩展的用例</w:t>
            </w:r>
          </w:p>
        </w:tc>
        <w:tc>
          <w:tcPr>
            <w:tcW w:w="7272" w:type="dxa"/>
            <w:vAlign w:val="center"/>
          </w:tcPr>
          <w:p w14:paraId="48342FE6">
            <w:pPr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</w:tr>
    </w:tbl>
    <w:p w14:paraId="3A491882">
      <w:pPr>
        <w:keepNext/>
        <w:spacing w:before="240"/>
        <w:rPr>
          <w:rFonts w:ascii="Times New Roman" w:hAnsi="Times New Roman"/>
        </w:rPr>
      </w:pPr>
      <w:r>
        <w:rPr>
          <w:rFonts w:ascii="Times New Roman" w:hAnsi="Times New Roman" w:eastAsia="黑体"/>
          <w:b/>
          <w:sz w:val="24"/>
        </w:rPr>
        <w:t>6. 签退释放（Study-F02）</w:t>
      </w:r>
    </w:p>
    <w:tbl>
      <w:tblPr>
        <w:tblStyle w:val="33"/>
        <w:tblW w:w="907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272"/>
      </w:tblGrid>
      <w:tr w14:paraId="0FDCB5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00" w:type="dxa"/>
            <w:vAlign w:val="center"/>
          </w:tcPr>
          <w:p w14:paraId="1A94BCDD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/>
                <w:sz w:val="21"/>
              </w:rPr>
              <w:t>字段</w:t>
            </w:r>
          </w:p>
        </w:tc>
        <w:tc>
          <w:tcPr>
            <w:tcW w:w="7272" w:type="dxa"/>
            <w:vAlign w:val="center"/>
          </w:tcPr>
          <w:p w14:paraId="76B43164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/>
                <w:sz w:val="21"/>
              </w:rPr>
              <w:t>内容</w:t>
            </w:r>
          </w:p>
        </w:tc>
      </w:tr>
      <w:tr w14:paraId="5D53CE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4F245DE4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用例名称</w:t>
            </w:r>
          </w:p>
        </w:tc>
        <w:tc>
          <w:tcPr>
            <w:tcW w:w="7272" w:type="dxa"/>
            <w:vAlign w:val="center"/>
          </w:tcPr>
          <w:p w14:paraId="387732AE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签退释放</w:t>
            </w:r>
          </w:p>
        </w:tc>
      </w:tr>
      <w:tr w14:paraId="082561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59F88600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标识符</w:t>
            </w:r>
          </w:p>
        </w:tc>
        <w:tc>
          <w:tcPr>
            <w:tcW w:w="7272" w:type="dxa"/>
            <w:vAlign w:val="center"/>
          </w:tcPr>
          <w:p w14:paraId="7003A6F5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Study-F02</w:t>
            </w:r>
          </w:p>
        </w:tc>
      </w:tr>
      <w:tr w14:paraId="7A893A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0F9FDA23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用例描述</w:t>
            </w:r>
          </w:p>
        </w:tc>
        <w:tc>
          <w:tcPr>
            <w:tcW w:w="7272" w:type="dxa"/>
            <w:vAlign w:val="center"/>
          </w:tcPr>
          <w:p w14:paraId="1656F7FE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值班管理员办理签退，系统释放座位并判定是否超时，超时则扣学生信用分。</w:t>
            </w:r>
          </w:p>
        </w:tc>
      </w:tr>
      <w:tr w14:paraId="55CB88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40C814CC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参与者</w:t>
            </w:r>
          </w:p>
        </w:tc>
        <w:tc>
          <w:tcPr>
            <w:tcW w:w="7272" w:type="dxa"/>
            <w:vAlign w:val="center"/>
          </w:tcPr>
          <w:p w14:paraId="6FBEDF82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值班管理员</w:t>
            </w:r>
          </w:p>
        </w:tc>
      </w:tr>
      <w:tr w14:paraId="4A3A61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0218D0DF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前置条件</w:t>
            </w:r>
          </w:p>
        </w:tc>
        <w:tc>
          <w:tcPr>
            <w:tcW w:w="7272" w:type="dxa"/>
            <w:vAlign w:val="center"/>
          </w:tcPr>
          <w:p w14:paraId="24B16AF2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预约状态为“已签到”（座位处于使用中）。</w:t>
            </w:r>
          </w:p>
        </w:tc>
      </w:tr>
      <w:tr w14:paraId="5BFD1C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7349D9B6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后置条件</w:t>
            </w:r>
          </w:p>
        </w:tc>
        <w:tc>
          <w:tcPr>
            <w:tcW w:w="7272" w:type="dxa"/>
            <w:vAlign w:val="center"/>
          </w:tcPr>
          <w:p w14:paraId="5327D1EC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座位状态变更为“可用”，系统记录信用分变动。</w:t>
            </w:r>
          </w:p>
        </w:tc>
      </w:tr>
      <w:tr w14:paraId="0FEB23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7FF0A6C8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基本操作流程</w:t>
            </w:r>
          </w:p>
        </w:tc>
        <w:tc>
          <w:tcPr>
            <w:tcW w:w="7272" w:type="dxa"/>
            <w:vAlign w:val="center"/>
          </w:tcPr>
          <w:p w14:paraId="2AA95FB9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1) 值班管理员输入要签退的座位号或预约号。</w:t>
            </w:r>
            <w:r>
              <w:rPr>
                <w:rFonts w:ascii="Times New Roman" w:hAnsi="Times New Roman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21"/>
              </w:rPr>
              <w:t>2) 系统执行“判定超时并记录信用分扣减”。</w:t>
            </w:r>
            <w:r>
              <w:rPr>
                <w:rFonts w:ascii="Times New Roman" w:hAnsi="Times New Roman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21"/>
              </w:rPr>
              <w:t>3) 系统将预约状态更新为“已签退”，并将座位状态更新为“可用”。</w:t>
            </w:r>
          </w:p>
        </w:tc>
      </w:tr>
      <w:tr w14:paraId="0AE993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28336AA2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可选操作流程</w:t>
            </w:r>
          </w:p>
        </w:tc>
        <w:tc>
          <w:tcPr>
            <w:tcW w:w="7272" w:type="dxa"/>
            <w:vAlign w:val="center"/>
          </w:tcPr>
          <w:p w14:paraId="409B8B9B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1) 输入错误的座位号或预约号，系统提示“未找到有效签退信息”。</w:t>
            </w:r>
          </w:p>
        </w:tc>
      </w:tr>
      <w:tr w14:paraId="468F51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0F9F43F2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被泛化的用例</w:t>
            </w:r>
          </w:p>
        </w:tc>
        <w:tc>
          <w:tcPr>
            <w:tcW w:w="7272" w:type="dxa"/>
            <w:vAlign w:val="center"/>
          </w:tcPr>
          <w:p w14:paraId="67CC999B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</w:tr>
      <w:tr w14:paraId="4B17DE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69A86FAC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被包含的用例</w:t>
            </w:r>
          </w:p>
        </w:tc>
        <w:tc>
          <w:tcPr>
            <w:tcW w:w="7272" w:type="dxa"/>
            <w:vAlign w:val="center"/>
          </w:tcPr>
          <w:p w14:paraId="3E7E57F5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判定超时并记录信用分扣减</w:t>
            </w:r>
          </w:p>
        </w:tc>
      </w:tr>
      <w:tr w14:paraId="3167E6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207975EB">
            <w:pPr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被扩展的用例</w:t>
            </w:r>
          </w:p>
        </w:tc>
        <w:tc>
          <w:tcPr>
            <w:tcW w:w="7272" w:type="dxa"/>
            <w:vAlign w:val="center"/>
          </w:tcPr>
          <w:p w14:paraId="1DEE226D">
            <w:pPr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</w:tr>
    </w:tbl>
    <w:p w14:paraId="61D029FB">
      <w:pPr>
        <w:keepNext/>
        <w:spacing w:before="240"/>
        <w:rPr>
          <w:rFonts w:ascii="Times New Roman" w:hAnsi="Times New Roman"/>
        </w:rPr>
      </w:pPr>
      <w:r>
        <w:rPr>
          <w:rFonts w:ascii="Times New Roman" w:hAnsi="Times New Roman" w:eastAsia="黑体"/>
          <w:b/>
          <w:sz w:val="24"/>
        </w:rPr>
        <w:t>7. 座位区域与规则维护（Study-M01）</w:t>
      </w:r>
    </w:p>
    <w:tbl>
      <w:tblPr>
        <w:tblStyle w:val="33"/>
        <w:tblW w:w="907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272"/>
      </w:tblGrid>
      <w:tr w14:paraId="5DF169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00" w:type="dxa"/>
            <w:vAlign w:val="center"/>
          </w:tcPr>
          <w:p w14:paraId="25C1E523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/>
                <w:sz w:val="21"/>
              </w:rPr>
              <w:t>字段</w:t>
            </w:r>
          </w:p>
        </w:tc>
        <w:tc>
          <w:tcPr>
            <w:tcW w:w="7272" w:type="dxa"/>
            <w:vAlign w:val="center"/>
          </w:tcPr>
          <w:p w14:paraId="3B44A1DB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/>
                <w:sz w:val="21"/>
              </w:rPr>
              <w:t>内容</w:t>
            </w:r>
          </w:p>
        </w:tc>
      </w:tr>
      <w:tr w14:paraId="144649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50E9924A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用例名称</w:t>
            </w:r>
          </w:p>
        </w:tc>
        <w:tc>
          <w:tcPr>
            <w:tcW w:w="7272" w:type="dxa"/>
            <w:vAlign w:val="center"/>
          </w:tcPr>
          <w:p w14:paraId="36EF2032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座位区域与规则维护</w:t>
            </w:r>
          </w:p>
        </w:tc>
      </w:tr>
      <w:tr w14:paraId="29FF58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5F534A0E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标识符</w:t>
            </w:r>
          </w:p>
        </w:tc>
        <w:tc>
          <w:tcPr>
            <w:tcW w:w="7272" w:type="dxa"/>
            <w:vAlign w:val="center"/>
          </w:tcPr>
          <w:p w14:paraId="097524CD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Study-M01</w:t>
            </w:r>
          </w:p>
        </w:tc>
      </w:tr>
      <w:tr w14:paraId="086B9E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00C7042F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用例描述</w:t>
            </w:r>
          </w:p>
        </w:tc>
        <w:tc>
          <w:tcPr>
            <w:tcW w:w="7272" w:type="dxa"/>
            <w:vAlign w:val="center"/>
          </w:tcPr>
          <w:p w14:paraId="176A31A2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系统管理员新增/修改座位区域、座位数量，维护信用分规则参数。</w:t>
            </w:r>
          </w:p>
        </w:tc>
      </w:tr>
      <w:tr w14:paraId="5C2A75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580997CE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参与者</w:t>
            </w:r>
          </w:p>
        </w:tc>
        <w:tc>
          <w:tcPr>
            <w:tcW w:w="7272" w:type="dxa"/>
            <w:vAlign w:val="center"/>
          </w:tcPr>
          <w:p w14:paraId="3001A7CB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系统管理员</w:t>
            </w:r>
          </w:p>
        </w:tc>
      </w:tr>
      <w:tr w14:paraId="368DCF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0CA769CC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前置条件</w:t>
            </w:r>
          </w:p>
        </w:tc>
        <w:tc>
          <w:tcPr>
            <w:tcW w:w="7272" w:type="dxa"/>
            <w:vAlign w:val="center"/>
          </w:tcPr>
          <w:p w14:paraId="5B887F7E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系统管理员已登录。</w:t>
            </w:r>
          </w:p>
        </w:tc>
      </w:tr>
      <w:tr w14:paraId="0BF4A3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72E1519B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后置条件</w:t>
            </w:r>
          </w:p>
        </w:tc>
        <w:tc>
          <w:tcPr>
            <w:tcW w:w="7272" w:type="dxa"/>
            <w:vAlign w:val="center"/>
          </w:tcPr>
          <w:p w14:paraId="46F7C83F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系统保存新的区域信息或规则参数。</w:t>
            </w:r>
          </w:p>
        </w:tc>
      </w:tr>
      <w:tr w14:paraId="5BD6E4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7AC7C16D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基本操作流程</w:t>
            </w:r>
          </w:p>
        </w:tc>
        <w:tc>
          <w:tcPr>
            <w:tcW w:w="7272" w:type="dxa"/>
            <w:vAlign w:val="center"/>
          </w:tcPr>
          <w:p w14:paraId="74EE5B14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1) 管理员选择“区域与规则管理”。</w:t>
            </w:r>
            <w:r>
              <w:rPr>
                <w:rFonts w:ascii="Times New Roman" w:hAnsi="Times New Roman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21"/>
              </w:rPr>
              <w:t>2) 管理员新增区域或修改座位数量，设置信用分规则（如初始100，爽约扣5，超时扣1，禁约阈值80）。</w:t>
            </w:r>
            <w:r>
              <w:rPr>
                <w:rFonts w:ascii="Times New Roman" w:hAnsi="Times New Roman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21"/>
              </w:rPr>
              <w:t>3) 系统更新数据并提示成功。</w:t>
            </w:r>
          </w:p>
        </w:tc>
      </w:tr>
      <w:tr w14:paraId="15DAD9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1C0A41C1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可选操作流程</w:t>
            </w:r>
          </w:p>
        </w:tc>
        <w:tc>
          <w:tcPr>
            <w:tcW w:w="7272" w:type="dxa"/>
            <w:vAlign w:val="center"/>
          </w:tcPr>
          <w:p w14:paraId="51454A7F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1) 输入的数量或规则参数非法（如负数），系统拒绝保存并提示。</w:t>
            </w:r>
          </w:p>
        </w:tc>
      </w:tr>
      <w:tr w14:paraId="06287E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2289F721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被泛化的用例</w:t>
            </w:r>
          </w:p>
        </w:tc>
        <w:tc>
          <w:tcPr>
            <w:tcW w:w="7272" w:type="dxa"/>
            <w:vAlign w:val="center"/>
          </w:tcPr>
          <w:p w14:paraId="0228916F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</w:tr>
      <w:tr w14:paraId="4AEE5B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2F2438ED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被包含的用例</w:t>
            </w:r>
          </w:p>
        </w:tc>
        <w:tc>
          <w:tcPr>
            <w:tcW w:w="7272" w:type="dxa"/>
            <w:vAlign w:val="center"/>
          </w:tcPr>
          <w:p w14:paraId="08663F38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</w:tr>
      <w:tr w14:paraId="660C8F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6433C087">
            <w:pPr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被扩展的用例</w:t>
            </w:r>
          </w:p>
        </w:tc>
        <w:tc>
          <w:tcPr>
            <w:tcW w:w="7272" w:type="dxa"/>
            <w:vAlign w:val="center"/>
          </w:tcPr>
          <w:p w14:paraId="204DA2A7">
            <w:pPr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</w:tr>
    </w:tbl>
    <w:p w14:paraId="2ED80321">
      <w:pPr>
        <w:keepNext/>
        <w:spacing w:before="240"/>
        <w:rPr>
          <w:rFonts w:ascii="Times New Roman" w:hAnsi="Times New Roman"/>
        </w:rPr>
      </w:pPr>
      <w:r>
        <w:rPr>
          <w:rFonts w:ascii="Times New Roman" w:hAnsi="Times New Roman" w:eastAsia="黑体"/>
          <w:b/>
          <w:sz w:val="24"/>
        </w:rPr>
        <w:t>8. 座位状态维护（Study-M02）</w:t>
      </w:r>
    </w:p>
    <w:tbl>
      <w:tblPr>
        <w:tblStyle w:val="33"/>
        <w:tblW w:w="907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272"/>
      </w:tblGrid>
      <w:tr w14:paraId="161306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00" w:type="dxa"/>
            <w:vAlign w:val="center"/>
          </w:tcPr>
          <w:p w14:paraId="28A65076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/>
                <w:sz w:val="21"/>
              </w:rPr>
              <w:t>字段</w:t>
            </w:r>
          </w:p>
        </w:tc>
        <w:tc>
          <w:tcPr>
            <w:tcW w:w="7272" w:type="dxa"/>
            <w:vAlign w:val="center"/>
          </w:tcPr>
          <w:p w14:paraId="756AE903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/>
                <w:sz w:val="21"/>
              </w:rPr>
              <w:t>内容</w:t>
            </w:r>
          </w:p>
        </w:tc>
      </w:tr>
      <w:tr w14:paraId="7FC50B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55650F80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用例名称</w:t>
            </w:r>
          </w:p>
        </w:tc>
        <w:tc>
          <w:tcPr>
            <w:tcW w:w="7272" w:type="dxa"/>
            <w:vAlign w:val="center"/>
          </w:tcPr>
          <w:p w14:paraId="5BBC5DA8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座位状态维护</w:t>
            </w:r>
          </w:p>
        </w:tc>
      </w:tr>
      <w:tr w14:paraId="30A8AA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57AD4F90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标识符</w:t>
            </w:r>
          </w:p>
        </w:tc>
        <w:tc>
          <w:tcPr>
            <w:tcW w:w="7272" w:type="dxa"/>
            <w:vAlign w:val="center"/>
          </w:tcPr>
          <w:p w14:paraId="2610822F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Study-M02</w:t>
            </w:r>
          </w:p>
        </w:tc>
      </w:tr>
      <w:tr w14:paraId="63189E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357C88C6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用例描述</w:t>
            </w:r>
          </w:p>
        </w:tc>
        <w:tc>
          <w:tcPr>
            <w:tcW w:w="7272" w:type="dxa"/>
            <w:vAlign w:val="center"/>
          </w:tcPr>
          <w:p w14:paraId="4C63BB4F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系统管理员更新座位状态（可用、已预约、使用中、维修），保证座位状态与实际一致。</w:t>
            </w:r>
          </w:p>
        </w:tc>
      </w:tr>
      <w:tr w14:paraId="1F4EF0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290BE1A7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参与者</w:t>
            </w:r>
          </w:p>
        </w:tc>
        <w:tc>
          <w:tcPr>
            <w:tcW w:w="7272" w:type="dxa"/>
            <w:vAlign w:val="center"/>
          </w:tcPr>
          <w:p w14:paraId="7E913C88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系统管理员</w:t>
            </w:r>
          </w:p>
        </w:tc>
      </w:tr>
      <w:tr w14:paraId="517E13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2F77D583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前置条件</w:t>
            </w:r>
          </w:p>
        </w:tc>
        <w:tc>
          <w:tcPr>
            <w:tcW w:w="7272" w:type="dxa"/>
            <w:vAlign w:val="center"/>
          </w:tcPr>
          <w:p w14:paraId="420B92B4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系统管理员已登录。</w:t>
            </w:r>
          </w:p>
        </w:tc>
      </w:tr>
      <w:tr w14:paraId="6F7C94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352A5E55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后置条件</w:t>
            </w:r>
          </w:p>
        </w:tc>
        <w:tc>
          <w:tcPr>
            <w:tcW w:w="7272" w:type="dxa"/>
            <w:vAlign w:val="center"/>
          </w:tcPr>
          <w:p w14:paraId="71588601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座位状态被手动更新。</w:t>
            </w:r>
          </w:p>
        </w:tc>
      </w:tr>
      <w:tr w14:paraId="31128F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07592CA7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基本操作流程</w:t>
            </w:r>
          </w:p>
        </w:tc>
        <w:tc>
          <w:tcPr>
            <w:tcW w:w="7272" w:type="dxa"/>
            <w:vAlign w:val="center"/>
          </w:tcPr>
          <w:p w14:paraId="07CEBD03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1) 管理员查看座位列表。</w:t>
            </w:r>
            <w:r>
              <w:rPr>
                <w:rFonts w:ascii="Times New Roman" w:hAnsi="Times New Roman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21"/>
              </w:rPr>
              <w:t>2) 选择需要更改状态的座位。</w:t>
            </w:r>
            <w:r>
              <w:rPr>
                <w:rFonts w:ascii="Times New Roman" w:hAnsi="Times New Roman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21"/>
              </w:rPr>
              <w:t>3) 提交修改，系统更新并刷新界面。</w:t>
            </w:r>
          </w:p>
        </w:tc>
      </w:tr>
      <w:tr w14:paraId="4C5AAA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5D30F9E2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可选操作流程</w:t>
            </w:r>
          </w:p>
        </w:tc>
        <w:tc>
          <w:tcPr>
            <w:tcW w:w="7272" w:type="dxa"/>
            <w:vAlign w:val="center"/>
          </w:tcPr>
          <w:p w14:paraId="6BA9AB6D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1) 若座位处于“使用中”状态，禁止直接改为“可用”，提示“请先办理签退”。</w:t>
            </w:r>
            <w:r>
              <w:rPr>
                <w:rFonts w:ascii="Times New Roman" w:hAnsi="Times New Roman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21"/>
              </w:rPr>
              <w:t>2) 若发生损坏，管理员可将其改为“维修”。</w:t>
            </w:r>
          </w:p>
        </w:tc>
      </w:tr>
      <w:tr w14:paraId="0FB994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52C209BB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被泛化的用例</w:t>
            </w:r>
          </w:p>
        </w:tc>
        <w:tc>
          <w:tcPr>
            <w:tcW w:w="7272" w:type="dxa"/>
            <w:vAlign w:val="center"/>
          </w:tcPr>
          <w:p w14:paraId="5E9EF8D2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</w:tr>
      <w:tr w14:paraId="691D92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133A1914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被包含的用例</w:t>
            </w:r>
          </w:p>
        </w:tc>
        <w:tc>
          <w:tcPr>
            <w:tcW w:w="7272" w:type="dxa"/>
            <w:vAlign w:val="center"/>
          </w:tcPr>
          <w:p w14:paraId="28014702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</w:tr>
      <w:tr w14:paraId="3A7259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706C1CBF">
            <w:pPr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被扩展的用例</w:t>
            </w:r>
          </w:p>
        </w:tc>
        <w:tc>
          <w:tcPr>
            <w:tcW w:w="7272" w:type="dxa"/>
            <w:vAlign w:val="center"/>
          </w:tcPr>
          <w:p w14:paraId="51571F4B">
            <w:pPr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</w:tr>
    </w:tbl>
    <w:p w14:paraId="7B09AFD9">
      <w:pPr>
        <w:keepNext/>
        <w:spacing w:before="240"/>
        <w:rPr>
          <w:rFonts w:ascii="Times New Roman" w:hAnsi="Times New Roman"/>
        </w:rPr>
      </w:pPr>
      <w:r>
        <w:rPr>
          <w:rFonts w:ascii="Times New Roman" w:hAnsi="Times New Roman" w:eastAsia="黑体"/>
          <w:b/>
          <w:sz w:val="24"/>
        </w:rPr>
        <w:t>9. 预约记录与信用分管理（Study-M03）</w:t>
      </w:r>
    </w:p>
    <w:tbl>
      <w:tblPr>
        <w:tblStyle w:val="33"/>
        <w:tblW w:w="907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272"/>
      </w:tblGrid>
      <w:tr w14:paraId="1DB94F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00" w:type="dxa"/>
            <w:vAlign w:val="center"/>
          </w:tcPr>
          <w:p w14:paraId="7FBB246B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/>
                <w:sz w:val="21"/>
              </w:rPr>
              <w:t>字段</w:t>
            </w:r>
          </w:p>
        </w:tc>
        <w:tc>
          <w:tcPr>
            <w:tcW w:w="7272" w:type="dxa"/>
            <w:vAlign w:val="center"/>
          </w:tcPr>
          <w:p w14:paraId="48F64D8A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/>
                <w:sz w:val="21"/>
              </w:rPr>
              <w:t>内容</w:t>
            </w:r>
          </w:p>
        </w:tc>
      </w:tr>
      <w:tr w14:paraId="2E383F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2AAC129B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用例名称</w:t>
            </w:r>
          </w:p>
        </w:tc>
        <w:tc>
          <w:tcPr>
            <w:tcW w:w="7272" w:type="dxa"/>
            <w:vAlign w:val="center"/>
          </w:tcPr>
          <w:p w14:paraId="24F8B0A4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预约记录与信用分管理</w:t>
            </w:r>
          </w:p>
        </w:tc>
      </w:tr>
      <w:tr w14:paraId="44CB38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5A37B029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标识符</w:t>
            </w:r>
          </w:p>
        </w:tc>
        <w:tc>
          <w:tcPr>
            <w:tcW w:w="7272" w:type="dxa"/>
            <w:vAlign w:val="center"/>
          </w:tcPr>
          <w:p w14:paraId="3D96E266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Study-M03</w:t>
            </w:r>
          </w:p>
        </w:tc>
      </w:tr>
      <w:tr w14:paraId="65D8C3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305B741A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用例描述</w:t>
            </w:r>
          </w:p>
        </w:tc>
        <w:tc>
          <w:tcPr>
            <w:tcW w:w="7272" w:type="dxa"/>
            <w:vAlign w:val="center"/>
          </w:tcPr>
          <w:p w14:paraId="3B6ABB04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按日期、区域、状态查询与统计预约记录，查看学生信用分变动情况。</w:t>
            </w:r>
          </w:p>
        </w:tc>
      </w:tr>
      <w:tr w14:paraId="2CAB08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7C7D0F41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参与者</w:t>
            </w:r>
          </w:p>
        </w:tc>
        <w:tc>
          <w:tcPr>
            <w:tcW w:w="7272" w:type="dxa"/>
            <w:vAlign w:val="center"/>
          </w:tcPr>
          <w:p w14:paraId="374E354A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系统管理员</w:t>
            </w:r>
          </w:p>
        </w:tc>
      </w:tr>
      <w:tr w14:paraId="1014F7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2A4B6C09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前置条件</w:t>
            </w:r>
          </w:p>
        </w:tc>
        <w:tc>
          <w:tcPr>
            <w:tcW w:w="7272" w:type="dxa"/>
            <w:vAlign w:val="center"/>
          </w:tcPr>
          <w:p w14:paraId="2CD87365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系统管理员已登录。</w:t>
            </w:r>
          </w:p>
        </w:tc>
      </w:tr>
      <w:tr w14:paraId="100146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07E3975C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后置条件</w:t>
            </w:r>
          </w:p>
        </w:tc>
        <w:tc>
          <w:tcPr>
            <w:tcW w:w="7272" w:type="dxa"/>
            <w:vAlign w:val="center"/>
          </w:tcPr>
          <w:p w14:paraId="1523C686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系统展示符合条件的预约记录及信用分流水。</w:t>
            </w:r>
          </w:p>
        </w:tc>
      </w:tr>
      <w:tr w14:paraId="43EA31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07CFA2A4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基本操作流程</w:t>
            </w:r>
          </w:p>
        </w:tc>
        <w:tc>
          <w:tcPr>
            <w:tcW w:w="7272" w:type="dxa"/>
            <w:vAlign w:val="center"/>
          </w:tcPr>
          <w:p w14:paraId="7084DCD1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1) 管理员进入管理页面。</w:t>
            </w:r>
            <w:r>
              <w:rPr>
                <w:rFonts w:ascii="Times New Roman" w:hAnsi="Times New Roman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21"/>
              </w:rPr>
              <w:t>2) 输入查询条件（日期、区域、状态）。</w:t>
            </w:r>
            <w:r>
              <w:rPr>
                <w:rFonts w:ascii="Times New Roman" w:hAnsi="Times New Roman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21"/>
              </w:rPr>
              <w:t>3) 系统查询并展示结果及信用分变动记录。</w:t>
            </w:r>
          </w:p>
        </w:tc>
      </w:tr>
      <w:tr w14:paraId="6A0668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748D1059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可选操作流程</w:t>
            </w:r>
          </w:p>
        </w:tc>
        <w:tc>
          <w:tcPr>
            <w:tcW w:w="7272" w:type="dxa"/>
            <w:vAlign w:val="center"/>
          </w:tcPr>
          <w:p w14:paraId="09953168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1) 没有符合条件的记录，显示空白并提示。</w:t>
            </w:r>
          </w:p>
        </w:tc>
      </w:tr>
      <w:tr w14:paraId="199AE2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5F89B72A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被泛化的用例</w:t>
            </w:r>
          </w:p>
        </w:tc>
        <w:tc>
          <w:tcPr>
            <w:tcW w:w="7272" w:type="dxa"/>
            <w:vAlign w:val="center"/>
          </w:tcPr>
          <w:p w14:paraId="7D7EBFC9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</w:tr>
      <w:tr w14:paraId="035EB1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2CB378D9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被包含的用例</w:t>
            </w:r>
          </w:p>
        </w:tc>
        <w:tc>
          <w:tcPr>
            <w:tcW w:w="7272" w:type="dxa"/>
            <w:vAlign w:val="center"/>
          </w:tcPr>
          <w:p w14:paraId="77071331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</w:tr>
      <w:tr w14:paraId="02103E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59580209">
            <w:pPr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被扩展的用例</w:t>
            </w:r>
          </w:p>
        </w:tc>
        <w:tc>
          <w:tcPr>
            <w:tcW w:w="7272" w:type="dxa"/>
            <w:vAlign w:val="center"/>
          </w:tcPr>
          <w:p w14:paraId="46E989EF">
            <w:pPr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</w:tr>
    </w:tbl>
    <w:p w14:paraId="6315A5A5">
      <w:pPr>
        <w:keepNext/>
        <w:spacing w:before="240"/>
        <w:rPr>
          <w:rFonts w:ascii="Times New Roman" w:hAnsi="Times New Roman"/>
        </w:rPr>
      </w:pPr>
      <w:r>
        <w:rPr>
          <w:rFonts w:ascii="Times New Roman" w:hAnsi="Times New Roman" w:eastAsia="黑体"/>
          <w:b/>
          <w:sz w:val="24"/>
        </w:rPr>
        <w:t>10. 被包含用例：校验座位与时段可用性（Study-I01）</w:t>
      </w:r>
    </w:p>
    <w:tbl>
      <w:tblPr>
        <w:tblStyle w:val="33"/>
        <w:tblW w:w="907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272"/>
      </w:tblGrid>
      <w:tr w14:paraId="109D35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00" w:type="dxa"/>
            <w:vAlign w:val="center"/>
          </w:tcPr>
          <w:p w14:paraId="74169FF8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/>
                <w:sz w:val="21"/>
              </w:rPr>
              <w:t>字段</w:t>
            </w:r>
          </w:p>
        </w:tc>
        <w:tc>
          <w:tcPr>
            <w:tcW w:w="7272" w:type="dxa"/>
            <w:vAlign w:val="center"/>
          </w:tcPr>
          <w:p w14:paraId="7D1386E8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/>
                <w:sz w:val="21"/>
              </w:rPr>
              <w:t>内容</w:t>
            </w:r>
          </w:p>
        </w:tc>
      </w:tr>
      <w:tr w14:paraId="61A360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18EAAD62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用例名称</w:t>
            </w:r>
          </w:p>
        </w:tc>
        <w:tc>
          <w:tcPr>
            <w:tcW w:w="7272" w:type="dxa"/>
            <w:vAlign w:val="center"/>
          </w:tcPr>
          <w:p w14:paraId="5FB48EAD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校验座位与时段可用性</w:t>
            </w:r>
          </w:p>
        </w:tc>
      </w:tr>
      <w:tr w14:paraId="05E84A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77F580F0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标识符</w:t>
            </w:r>
          </w:p>
        </w:tc>
        <w:tc>
          <w:tcPr>
            <w:tcW w:w="7272" w:type="dxa"/>
            <w:vAlign w:val="center"/>
          </w:tcPr>
          <w:p w14:paraId="3E705B88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Study-I01</w:t>
            </w:r>
          </w:p>
        </w:tc>
      </w:tr>
      <w:tr w14:paraId="7EF651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1DBC7EA7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用例描述</w:t>
            </w:r>
          </w:p>
        </w:tc>
        <w:tc>
          <w:tcPr>
            <w:tcW w:w="7272" w:type="dxa"/>
            <w:vAlign w:val="center"/>
          </w:tcPr>
          <w:p w14:paraId="179FA909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系统内部校验学生提交的预约请求是否满足座位可用条件。</w:t>
            </w:r>
          </w:p>
        </w:tc>
      </w:tr>
      <w:tr w14:paraId="0B50A0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35ADDB56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参与者</w:t>
            </w:r>
          </w:p>
        </w:tc>
        <w:tc>
          <w:tcPr>
            <w:tcW w:w="7272" w:type="dxa"/>
            <w:vAlign w:val="center"/>
          </w:tcPr>
          <w:p w14:paraId="3FE1C22D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无（系统内部调用）</w:t>
            </w:r>
          </w:p>
        </w:tc>
      </w:tr>
      <w:tr w14:paraId="2F0ABB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077E2BCA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前置条件</w:t>
            </w:r>
          </w:p>
        </w:tc>
        <w:tc>
          <w:tcPr>
            <w:tcW w:w="7272" w:type="dxa"/>
            <w:vAlign w:val="center"/>
          </w:tcPr>
          <w:p w14:paraId="3BB5221F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学生触发预约操作。</w:t>
            </w:r>
          </w:p>
        </w:tc>
      </w:tr>
      <w:tr w14:paraId="04BB98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5D843F69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后置条件</w:t>
            </w:r>
          </w:p>
        </w:tc>
        <w:tc>
          <w:tcPr>
            <w:tcW w:w="7272" w:type="dxa"/>
            <w:vAlign w:val="center"/>
          </w:tcPr>
          <w:p w14:paraId="18F41A1C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返回校验结果。</w:t>
            </w:r>
          </w:p>
        </w:tc>
      </w:tr>
      <w:tr w14:paraId="01FFBD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3EC447C1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基本操作流程</w:t>
            </w:r>
          </w:p>
        </w:tc>
        <w:tc>
          <w:tcPr>
            <w:tcW w:w="7272" w:type="dxa"/>
            <w:vAlign w:val="center"/>
          </w:tcPr>
          <w:p w14:paraId="595D4D6C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1) 接收预约请求。</w:t>
            </w:r>
            <w:r>
              <w:rPr>
                <w:rFonts w:ascii="Times New Roman" w:hAnsi="Times New Roman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21"/>
              </w:rPr>
              <w:t>2) 检查座位是否处于“可用”状态。</w:t>
            </w:r>
            <w:r>
              <w:rPr>
                <w:rFonts w:ascii="Times New Roman" w:hAnsi="Times New Roman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21"/>
              </w:rPr>
              <w:t>3) 检查时间段是否冲突。</w:t>
            </w:r>
          </w:p>
        </w:tc>
      </w:tr>
      <w:tr w14:paraId="763E1F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4758AC95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可选操作流程</w:t>
            </w:r>
          </w:p>
        </w:tc>
        <w:tc>
          <w:tcPr>
            <w:tcW w:w="7272" w:type="dxa"/>
            <w:vAlign w:val="center"/>
          </w:tcPr>
          <w:p w14:paraId="547EEE5A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1) 座位非空闲或时段冲突，返回“校验失败”。</w:t>
            </w:r>
          </w:p>
        </w:tc>
      </w:tr>
      <w:tr w14:paraId="2CEB0C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6288A750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被泛化的用例</w:t>
            </w:r>
          </w:p>
        </w:tc>
        <w:tc>
          <w:tcPr>
            <w:tcW w:w="7272" w:type="dxa"/>
            <w:vAlign w:val="center"/>
          </w:tcPr>
          <w:p w14:paraId="6C8F2B38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</w:tr>
      <w:tr w14:paraId="2976C5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59A93765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被包含的用例</w:t>
            </w:r>
          </w:p>
        </w:tc>
        <w:tc>
          <w:tcPr>
            <w:tcW w:w="7272" w:type="dxa"/>
            <w:vAlign w:val="center"/>
          </w:tcPr>
          <w:p w14:paraId="23682B78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</w:tr>
      <w:tr w14:paraId="06A246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144302D5">
            <w:pPr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被扩展的用例</w:t>
            </w:r>
          </w:p>
        </w:tc>
        <w:tc>
          <w:tcPr>
            <w:tcW w:w="7272" w:type="dxa"/>
            <w:vAlign w:val="center"/>
          </w:tcPr>
          <w:p w14:paraId="41DC559B">
            <w:pPr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</w:tr>
    </w:tbl>
    <w:p w14:paraId="7CAB83E3">
      <w:pPr>
        <w:keepNext/>
        <w:spacing w:before="240"/>
        <w:rPr>
          <w:rFonts w:ascii="Times New Roman" w:hAnsi="Times New Roman"/>
        </w:rPr>
      </w:pPr>
      <w:r>
        <w:rPr>
          <w:rFonts w:ascii="Times New Roman" w:hAnsi="Times New Roman" w:eastAsia="黑体"/>
          <w:b/>
          <w:sz w:val="24"/>
        </w:rPr>
        <w:t>11. 被包含用例：核验预约记录（Study-I02）</w:t>
      </w:r>
    </w:p>
    <w:tbl>
      <w:tblPr>
        <w:tblStyle w:val="33"/>
        <w:tblW w:w="907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272"/>
      </w:tblGrid>
      <w:tr w14:paraId="3E2A0F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00" w:type="dxa"/>
            <w:vAlign w:val="center"/>
          </w:tcPr>
          <w:p w14:paraId="4B03E248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/>
                <w:sz w:val="21"/>
              </w:rPr>
              <w:t>字段</w:t>
            </w:r>
          </w:p>
        </w:tc>
        <w:tc>
          <w:tcPr>
            <w:tcW w:w="7272" w:type="dxa"/>
            <w:vAlign w:val="center"/>
          </w:tcPr>
          <w:p w14:paraId="52A7816C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/>
                <w:sz w:val="21"/>
              </w:rPr>
              <w:t>内容</w:t>
            </w:r>
          </w:p>
        </w:tc>
      </w:tr>
      <w:tr w14:paraId="037DD5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1BB877E7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用例名称</w:t>
            </w:r>
          </w:p>
        </w:tc>
        <w:tc>
          <w:tcPr>
            <w:tcW w:w="7272" w:type="dxa"/>
            <w:vAlign w:val="center"/>
          </w:tcPr>
          <w:p w14:paraId="1AE84890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核验预约记录</w:t>
            </w:r>
          </w:p>
        </w:tc>
      </w:tr>
      <w:tr w14:paraId="0DCC0A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7AC73BA5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标识符</w:t>
            </w:r>
          </w:p>
        </w:tc>
        <w:tc>
          <w:tcPr>
            <w:tcW w:w="7272" w:type="dxa"/>
            <w:vAlign w:val="center"/>
          </w:tcPr>
          <w:p w14:paraId="2EE85927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Study-I02</w:t>
            </w:r>
          </w:p>
        </w:tc>
      </w:tr>
      <w:tr w14:paraId="205352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44E784F9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用例描述</w:t>
            </w:r>
          </w:p>
        </w:tc>
        <w:tc>
          <w:tcPr>
            <w:tcW w:w="7272" w:type="dxa"/>
            <w:vAlign w:val="center"/>
          </w:tcPr>
          <w:p w14:paraId="0141AFEF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系统内部核验值班管理员输入的预约号是否有效。</w:t>
            </w:r>
          </w:p>
        </w:tc>
      </w:tr>
      <w:tr w14:paraId="3223C2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529C2764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参与者</w:t>
            </w:r>
          </w:p>
        </w:tc>
        <w:tc>
          <w:tcPr>
            <w:tcW w:w="7272" w:type="dxa"/>
            <w:vAlign w:val="center"/>
          </w:tcPr>
          <w:p w14:paraId="11AD544E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无（系统内部调用）</w:t>
            </w:r>
          </w:p>
        </w:tc>
      </w:tr>
      <w:tr w14:paraId="673CC1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4FD087B1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前置条件</w:t>
            </w:r>
          </w:p>
        </w:tc>
        <w:tc>
          <w:tcPr>
            <w:tcW w:w="7272" w:type="dxa"/>
            <w:vAlign w:val="center"/>
          </w:tcPr>
          <w:p w14:paraId="77173D3D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值班管理员触发签到操作。</w:t>
            </w:r>
          </w:p>
        </w:tc>
      </w:tr>
      <w:tr w14:paraId="2E40EB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522CEC29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后置条件</w:t>
            </w:r>
          </w:p>
        </w:tc>
        <w:tc>
          <w:tcPr>
            <w:tcW w:w="7272" w:type="dxa"/>
            <w:vAlign w:val="center"/>
          </w:tcPr>
          <w:p w14:paraId="73A2A77A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返回预约信息及校验结果。</w:t>
            </w:r>
          </w:p>
        </w:tc>
      </w:tr>
      <w:tr w14:paraId="31BF0C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2A5F95AC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基本操作流程</w:t>
            </w:r>
          </w:p>
        </w:tc>
        <w:tc>
          <w:tcPr>
            <w:tcW w:w="7272" w:type="dxa"/>
            <w:vAlign w:val="center"/>
          </w:tcPr>
          <w:p w14:paraId="70C9C8C7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1) 读取预约信息。</w:t>
            </w:r>
            <w:r>
              <w:rPr>
                <w:rFonts w:ascii="Times New Roman" w:hAnsi="Times New Roman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21"/>
              </w:rPr>
              <w:t>2) 校验预约状态是否为“已预约”。</w:t>
            </w:r>
            <w:r>
              <w:rPr>
                <w:rFonts w:ascii="Times New Roman" w:hAnsi="Times New Roman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21"/>
              </w:rPr>
              <w:t>3) 返回校验结果。</w:t>
            </w:r>
          </w:p>
        </w:tc>
      </w:tr>
      <w:tr w14:paraId="75BA5A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526FCA5E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可选操作流程</w:t>
            </w:r>
          </w:p>
        </w:tc>
        <w:tc>
          <w:tcPr>
            <w:tcW w:w="7272" w:type="dxa"/>
            <w:vAlign w:val="center"/>
          </w:tcPr>
          <w:p w14:paraId="76593248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1) 预约不存在或状态不是“已预约”，返回“无效预约”。</w:t>
            </w:r>
          </w:p>
        </w:tc>
      </w:tr>
      <w:tr w14:paraId="0BBD07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5580DA7C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被泛化的用例</w:t>
            </w:r>
          </w:p>
        </w:tc>
        <w:tc>
          <w:tcPr>
            <w:tcW w:w="7272" w:type="dxa"/>
            <w:vAlign w:val="center"/>
          </w:tcPr>
          <w:p w14:paraId="68EE170C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</w:tr>
      <w:tr w14:paraId="3D4BE1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5FB611B1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被包含的用例</w:t>
            </w:r>
          </w:p>
        </w:tc>
        <w:tc>
          <w:tcPr>
            <w:tcW w:w="7272" w:type="dxa"/>
            <w:vAlign w:val="center"/>
          </w:tcPr>
          <w:p w14:paraId="7CAA14AD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</w:tr>
      <w:tr w14:paraId="5E3BDF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525EEA42">
            <w:pPr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被扩展的用例</w:t>
            </w:r>
          </w:p>
        </w:tc>
        <w:tc>
          <w:tcPr>
            <w:tcW w:w="7272" w:type="dxa"/>
            <w:vAlign w:val="center"/>
          </w:tcPr>
          <w:p w14:paraId="3D5FE151">
            <w:pPr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</w:tr>
    </w:tbl>
    <w:p w14:paraId="4D3DE581">
      <w:pPr>
        <w:keepNext/>
        <w:spacing w:before="240"/>
        <w:rPr>
          <w:rFonts w:ascii="Times New Roman" w:hAnsi="Times New Roman"/>
        </w:rPr>
      </w:pPr>
      <w:r>
        <w:rPr>
          <w:rFonts w:ascii="Times New Roman" w:hAnsi="Times New Roman" w:eastAsia="黑体"/>
          <w:b/>
          <w:sz w:val="24"/>
        </w:rPr>
        <w:t>12. 被包含用例：判定超时并记录信用分扣减（Study-I03）</w:t>
      </w:r>
    </w:p>
    <w:tbl>
      <w:tblPr>
        <w:tblStyle w:val="33"/>
        <w:tblW w:w="907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272"/>
      </w:tblGrid>
      <w:tr w14:paraId="6BFE03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00" w:type="dxa"/>
            <w:vAlign w:val="center"/>
          </w:tcPr>
          <w:p w14:paraId="37AD6F43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/>
                <w:sz w:val="21"/>
              </w:rPr>
              <w:t>字段</w:t>
            </w:r>
          </w:p>
        </w:tc>
        <w:tc>
          <w:tcPr>
            <w:tcW w:w="7272" w:type="dxa"/>
            <w:vAlign w:val="center"/>
          </w:tcPr>
          <w:p w14:paraId="23F7979C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/>
                <w:sz w:val="21"/>
              </w:rPr>
              <w:t>内容</w:t>
            </w:r>
          </w:p>
        </w:tc>
      </w:tr>
      <w:tr w14:paraId="28F9FA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61FA17C6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用例名称</w:t>
            </w:r>
          </w:p>
        </w:tc>
        <w:tc>
          <w:tcPr>
            <w:tcW w:w="7272" w:type="dxa"/>
            <w:vAlign w:val="center"/>
          </w:tcPr>
          <w:p w14:paraId="6E35DD74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判定超时并记录信用分扣减</w:t>
            </w:r>
          </w:p>
        </w:tc>
      </w:tr>
      <w:tr w14:paraId="1CA337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423FBC31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标识符</w:t>
            </w:r>
          </w:p>
        </w:tc>
        <w:tc>
          <w:tcPr>
            <w:tcW w:w="7272" w:type="dxa"/>
            <w:vAlign w:val="center"/>
          </w:tcPr>
          <w:p w14:paraId="659BE1BB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Study-I03</w:t>
            </w:r>
          </w:p>
        </w:tc>
      </w:tr>
      <w:tr w14:paraId="226F3A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445E33EC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用例描述</w:t>
            </w:r>
          </w:p>
        </w:tc>
        <w:tc>
          <w:tcPr>
            <w:tcW w:w="7272" w:type="dxa"/>
            <w:vAlign w:val="center"/>
          </w:tcPr>
          <w:p w14:paraId="4D0660B5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系统内部判定学生是否超时未签退，并按规则扣减信用分。</w:t>
            </w:r>
          </w:p>
        </w:tc>
      </w:tr>
      <w:tr w14:paraId="1076F9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65BE1BC9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参与者</w:t>
            </w:r>
          </w:p>
        </w:tc>
        <w:tc>
          <w:tcPr>
            <w:tcW w:w="7272" w:type="dxa"/>
            <w:vAlign w:val="center"/>
          </w:tcPr>
          <w:p w14:paraId="3BA8B015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无（系统内部调用）</w:t>
            </w:r>
          </w:p>
        </w:tc>
      </w:tr>
      <w:tr w14:paraId="183ACB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26E168E7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前置条件</w:t>
            </w:r>
          </w:p>
        </w:tc>
        <w:tc>
          <w:tcPr>
            <w:tcW w:w="7272" w:type="dxa"/>
            <w:vAlign w:val="center"/>
          </w:tcPr>
          <w:p w14:paraId="34CCC207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值班管理员触发签退操作。</w:t>
            </w:r>
          </w:p>
        </w:tc>
      </w:tr>
      <w:tr w14:paraId="235794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5670C5B7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后置条件</w:t>
            </w:r>
          </w:p>
        </w:tc>
        <w:tc>
          <w:tcPr>
            <w:tcW w:w="7272" w:type="dxa"/>
            <w:vAlign w:val="center"/>
          </w:tcPr>
          <w:p w14:paraId="033C2B15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扣减该学生信用分（若超时），并记录变动日志。</w:t>
            </w:r>
          </w:p>
        </w:tc>
      </w:tr>
      <w:tr w14:paraId="5B81F2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321C05FB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基本操作流程</w:t>
            </w:r>
          </w:p>
        </w:tc>
        <w:tc>
          <w:tcPr>
            <w:tcW w:w="7272" w:type="dxa"/>
            <w:vAlign w:val="center"/>
          </w:tcPr>
          <w:p w14:paraId="1C2DA374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1) 读取签退时间与预约时间。</w:t>
            </w:r>
            <w:r>
              <w:rPr>
                <w:rFonts w:ascii="Times New Roman" w:hAnsi="Times New Roman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21"/>
              </w:rPr>
              <w:t>2) 计算是否超时。</w:t>
            </w:r>
            <w:r>
              <w:rPr>
                <w:rFonts w:ascii="Times New Roman" w:hAnsi="Times New Roman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21"/>
              </w:rPr>
              <w:t>3) 若超时，扣减1分，并记录信用分变动日志。</w:t>
            </w:r>
          </w:p>
        </w:tc>
      </w:tr>
      <w:tr w14:paraId="7A315E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61684A7D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可选操作流程</w:t>
            </w:r>
          </w:p>
        </w:tc>
        <w:tc>
          <w:tcPr>
            <w:tcW w:w="7272" w:type="dxa"/>
            <w:vAlign w:val="center"/>
          </w:tcPr>
          <w:p w14:paraId="7C949CAA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1) 数据缺失，返回错误信息。</w:t>
            </w:r>
          </w:p>
        </w:tc>
      </w:tr>
      <w:tr w14:paraId="6062BC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143F6E05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被泛化的用例</w:t>
            </w:r>
          </w:p>
        </w:tc>
        <w:tc>
          <w:tcPr>
            <w:tcW w:w="7272" w:type="dxa"/>
            <w:vAlign w:val="center"/>
          </w:tcPr>
          <w:p w14:paraId="7C6B68AE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</w:tr>
      <w:tr w14:paraId="34B088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246946FD">
            <w:pPr>
              <w:keepNext/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被包含的用例</w:t>
            </w:r>
          </w:p>
        </w:tc>
        <w:tc>
          <w:tcPr>
            <w:tcW w:w="7272" w:type="dxa"/>
            <w:vAlign w:val="center"/>
          </w:tcPr>
          <w:p w14:paraId="523075DC">
            <w:pPr>
              <w:keepNext/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</w:tr>
      <w:tr w14:paraId="362F9A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750BDB1B">
            <w:pPr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被扩展的用例</w:t>
            </w:r>
          </w:p>
        </w:tc>
        <w:tc>
          <w:tcPr>
            <w:tcW w:w="7272" w:type="dxa"/>
            <w:vAlign w:val="center"/>
          </w:tcPr>
          <w:p w14:paraId="475B4565">
            <w:pPr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</w:tr>
    </w:tbl>
    <w:p w14:paraId="25BD31B2">
      <w:pPr>
        <w:keepNext/>
        <w:spacing w:before="240"/>
        <w:rPr>
          <w:rFonts w:ascii="Times New Roman" w:hAnsi="Times New Roman"/>
        </w:rPr>
      </w:pPr>
      <w:r>
        <w:rPr>
          <w:rFonts w:ascii="Times New Roman" w:hAnsi="Times New Roman" w:eastAsia="黑体"/>
          <w:b/>
          <w:sz w:val="28"/>
        </w:rPr>
        <w:t>五、实验数据分析与讨论</w:t>
      </w:r>
    </w:p>
    <w:p w14:paraId="333928A6">
      <w:pPr>
        <w:keepNext/>
        <w:spacing w:before="0"/>
        <w:rPr>
          <w:rFonts w:ascii="Times New Roman" w:hAnsi="Times New Roman"/>
        </w:rPr>
      </w:pPr>
      <w:r>
        <w:rPr>
          <w:rFonts w:ascii="Times New Roman" w:hAnsi="Times New Roman" w:eastAsia="黑体"/>
          <w:b/>
          <w:sz w:val="24"/>
        </w:rPr>
        <w:t>（一）CIM-1 总览版如何细化为本图</w:t>
      </w:r>
    </w:p>
    <w:p w14:paraId="032441F6">
      <w:pPr>
        <w:ind w:firstLine="720"/>
        <w:rPr>
          <w:rFonts w:ascii="Times New Roman" w:hAnsi="Times New Roman"/>
        </w:rPr>
      </w:pPr>
      <w:r>
        <w:rPr>
          <w:rFonts w:ascii="Times New Roman" w:hAnsi="Times New Roman" w:eastAsia="宋体"/>
          <w:b w:val="0"/>
          <w:sz w:val="24"/>
        </w:rPr>
        <w:t>在成员A完成的 CIM-1 总览版中，系统用例图仅展示了参与者与 8 个核心用例之间的“关联关系”。在本实验（CIM-3 细化阶段）中，我进行了三个维度的结构化推导：</w:t>
      </w:r>
    </w:p>
    <w:p w14:paraId="7CBCA020">
      <w:pPr>
        <w:rPr>
          <w:rFonts w:ascii="Times New Roman" w:hAnsi="Times New Roman"/>
        </w:rPr>
      </w:pPr>
      <w:r>
        <w:rPr>
          <w:rFonts w:ascii="Times New Roman" w:hAnsi="Times New Roman" w:eastAsia="宋体"/>
          <w:b w:val="0"/>
          <w:sz w:val="24"/>
        </w:rPr>
        <w:t>1.辨析并细化包含关系（Include）：在细化时，我重点区分了“查询座位”与“校验座位与时段可用性”这两个极易混淆的用例。“查询座位”是面向学生展示列表的独立主用例；而“校验座位”面向系统内部，用于在点击提交时防止并发抢座与时段冲突。将其作为“在线预约”的 &lt;&lt;include&gt;&gt; 被包含用例，体现了“单一职责”与“强制依赖”的设计原则。</w:t>
      </w:r>
    </w:p>
    <w:p w14:paraId="32AD8F7E">
      <w:pPr>
        <w:rPr>
          <w:rFonts w:ascii="Times New Roman" w:hAnsi="Times New Roman"/>
        </w:rPr>
      </w:pPr>
      <w:r>
        <w:rPr>
          <w:rFonts w:ascii="Times New Roman" w:hAnsi="Times New Roman" w:eastAsia="宋体"/>
          <w:b w:val="0"/>
          <w:sz w:val="24"/>
        </w:rPr>
        <w:t>2.处理可选分支，补充扩展关系（Extend）：将仅在特定条件下发生的“取消预约”设计为扩展用例。通过显式标注“预约成功后、签到前可取消”的扩展点，清晰界定了主流程与备选流。</w:t>
      </w:r>
    </w:p>
    <w:p w14:paraId="2430F1FB">
      <w:pPr>
        <w:rPr>
          <w:rFonts w:ascii="Times New Roman" w:hAnsi="Times New Roman"/>
        </w:rPr>
      </w:pPr>
      <w:r>
        <w:rPr>
          <w:rFonts w:ascii="Times New Roman" w:hAnsi="Times New Roman" w:eastAsia="宋体"/>
          <w:b w:val="0"/>
          <w:sz w:val="24"/>
        </w:rPr>
        <w:t>3.消除重复关联，补充泛化关系（Generalization）：为了避免“学生、值班管理员、系统管理员”都去重复连接“登录”用例，本图抽象出一个父级参与者“用户”。三个子角色通过泛化关系继承了登录功能，极大提升了模型的可维护性。</w:t>
      </w:r>
    </w:p>
    <w:p w14:paraId="26A0068D">
      <w:pPr>
        <w:keepNext/>
        <w:spacing w:before="240"/>
        <w:rPr>
          <w:rFonts w:ascii="Times New Roman" w:hAnsi="Times New Roman"/>
        </w:rPr>
      </w:pPr>
      <w:r>
        <w:rPr>
          <w:rFonts w:ascii="Times New Roman" w:hAnsi="Times New Roman" w:eastAsia="黑体"/>
          <w:b/>
          <w:sz w:val="24"/>
        </w:rPr>
        <w:t>（二）业务逻辑漏洞的排查与契约对齐</w:t>
      </w:r>
    </w:p>
    <w:p w14:paraId="193FE264">
      <w:pPr>
        <w:ind w:firstLine="720"/>
        <w:rPr>
          <w:rFonts w:ascii="Times New Roman" w:hAnsi="Times New Roman"/>
        </w:rPr>
      </w:pPr>
      <w:r>
        <w:rPr>
          <w:rFonts w:ascii="Times New Roman" w:hAnsi="Times New Roman" w:eastAsia="宋体"/>
          <w:b w:val="0"/>
          <w:sz w:val="24"/>
        </w:rPr>
        <w:t>在撰写用例叙述的过程中，我对系统内部的业务流转进行了深度推演。其中最具代表性的是对“签退释放与信用分扣减”的分析：</w:t>
      </w:r>
    </w:p>
    <w:p w14:paraId="6ABDEE0D">
      <w:pPr>
        <w:rPr>
          <w:rFonts w:ascii="Times New Roman" w:hAnsi="Times New Roman"/>
        </w:rPr>
      </w:pPr>
      <w:r>
        <w:rPr>
          <w:rFonts w:ascii="Times New Roman" w:hAnsi="Times New Roman" w:eastAsia="宋体"/>
          <w:b w:val="0"/>
          <w:sz w:val="24"/>
        </w:rPr>
        <w:t>1.问题发现：初步构思时，直觉是签退只需将座位释放即可。但在复核《接口契约 v0.4》时发现，系统采用了信用分机制来约束违约行为。</w:t>
      </w:r>
    </w:p>
    <w:p w14:paraId="6073ED5E">
      <w:pPr>
        <w:rPr>
          <w:rFonts w:ascii="Times New Roman" w:hAnsi="Times New Roman"/>
        </w:rPr>
      </w:pPr>
      <w:r>
        <w:rPr>
          <w:rFonts w:ascii="Times New Roman" w:hAnsi="Times New Roman" w:eastAsia="宋体"/>
          <w:b w:val="0"/>
          <w:sz w:val="24"/>
        </w:rPr>
        <w:t>2.逻辑修正：结合业务规则，在用例叙述中强制规定：签退释放用例必须 &lt;&lt;include&gt;&gt; “判定超时并记录信用分扣减”。如果学生超时未签退，系统必须自动判定并扣 1 分；若是爽约未签到，则另按规则扣 5 分；低于 80 分则在前置条件中拦截其预约操作。</w:t>
      </w:r>
    </w:p>
    <w:p w14:paraId="4025D569">
      <w:pPr>
        <w:rPr>
          <w:rFonts w:ascii="Times New Roman" w:hAnsi="Times New Roman"/>
        </w:rPr>
      </w:pPr>
      <w:r>
        <w:rPr>
          <w:rFonts w:ascii="Times New Roman" w:hAnsi="Times New Roman" w:eastAsia="宋体"/>
          <w:b w:val="0"/>
          <w:sz w:val="24"/>
        </w:rPr>
        <w:t>3.意外情况处理：若座位在签退或使用中发现损坏，系统管理员在“座位状态维护”中可将其转为“维修”状态，防止系统将其分配给新学生。</w:t>
      </w:r>
    </w:p>
    <w:p w14:paraId="022991A9">
      <w:pPr>
        <w:rPr>
          <w:rFonts w:ascii="Times New Roman" w:hAnsi="Times New Roman"/>
        </w:rPr>
      </w:pPr>
      <w:r>
        <w:rPr>
          <w:rFonts w:ascii="Times New Roman" w:hAnsi="Times New Roman" w:eastAsia="宋体"/>
          <w:b w:val="0"/>
          <w:sz w:val="24"/>
        </w:rPr>
        <w:t>4.分析结论：这一推敲过程确保了前端界面与后端实体类（Seat, Reservation, Student）的状态流转能够完美闭环，消除了后续开发中极大概率会出现的“状态不一致”或“信用分乱扣”的 Bug。</w:t>
      </w:r>
    </w:p>
    <w:p w14:paraId="7C4FD887">
      <w:pPr>
        <w:keepNext/>
        <w:spacing w:before="240"/>
        <w:rPr>
          <w:rFonts w:ascii="Times New Roman" w:hAnsi="Times New Roman"/>
        </w:rPr>
      </w:pPr>
      <w:r>
        <w:rPr>
          <w:rFonts w:ascii="Times New Roman" w:hAnsi="Times New Roman" w:eastAsia="黑体"/>
          <w:b/>
          <w:sz w:val="28"/>
        </w:rPr>
        <w:t>六、分工与评审说明</w:t>
      </w:r>
    </w:p>
    <w:tbl>
      <w:tblPr>
        <w:tblStyle w:val="33"/>
        <w:tblW w:w="907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8"/>
        <w:gridCol w:w="2000"/>
        <w:gridCol w:w="5084"/>
      </w:tblGrid>
      <w:tr w14:paraId="1548AB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88" w:type="dxa"/>
            <w:vAlign w:val="center"/>
          </w:tcPr>
          <w:p w14:paraId="6820041C">
            <w:pPr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/>
                <w:sz w:val="22"/>
              </w:rPr>
              <w:t>姓名</w:t>
            </w:r>
          </w:p>
        </w:tc>
        <w:tc>
          <w:tcPr>
            <w:tcW w:w="2000" w:type="dxa"/>
            <w:vAlign w:val="center"/>
          </w:tcPr>
          <w:p w14:paraId="603A11BC">
            <w:pPr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/>
                <w:sz w:val="22"/>
              </w:rPr>
              <w:t>学号</w:t>
            </w:r>
          </w:p>
        </w:tc>
        <w:tc>
          <w:tcPr>
            <w:tcW w:w="5084" w:type="dxa"/>
            <w:vAlign w:val="center"/>
          </w:tcPr>
          <w:p w14:paraId="3612AE23">
            <w:pPr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/>
                <w:sz w:val="22"/>
              </w:rPr>
              <w:t>本报告承担工作</w:t>
            </w:r>
          </w:p>
        </w:tc>
      </w:tr>
      <w:tr w14:paraId="603BAE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8" w:type="dxa"/>
            <w:vAlign w:val="center"/>
          </w:tcPr>
          <w:p w14:paraId="3FCA8171">
            <w:pPr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2"/>
              </w:rPr>
              <w:t>易雨杰</w:t>
            </w:r>
          </w:p>
        </w:tc>
        <w:tc>
          <w:tcPr>
            <w:tcW w:w="2000" w:type="dxa"/>
            <w:vAlign w:val="center"/>
          </w:tcPr>
          <w:p w14:paraId="20F4BE91">
            <w:pPr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2"/>
              </w:rPr>
              <w:t>2024611209</w:t>
            </w:r>
          </w:p>
        </w:tc>
        <w:tc>
          <w:tcPr>
            <w:tcW w:w="5084" w:type="dxa"/>
            <w:vAlign w:val="center"/>
          </w:tcPr>
          <w:p w14:paraId="107DA3BB">
            <w:pPr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2"/>
              </w:rPr>
              <w:t>提供 CIM-1 总览图、接口契约设计，实验2的 PR 评审</w:t>
            </w:r>
          </w:p>
        </w:tc>
      </w:tr>
      <w:tr w14:paraId="0C2E1C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8" w:type="dxa"/>
            <w:vAlign w:val="center"/>
          </w:tcPr>
          <w:p w14:paraId="35EBDF4F">
            <w:pPr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2"/>
              </w:rPr>
              <w:t>叶梅冰</w:t>
            </w:r>
          </w:p>
        </w:tc>
        <w:tc>
          <w:tcPr>
            <w:tcW w:w="2000" w:type="dxa"/>
            <w:vAlign w:val="center"/>
          </w:tcPr>
          <w:p w14:paraId="5E3218CC">
            <w:pPr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2"/>
              </w:rPr>
              <w:t>2024611038</w:t>
            </w:r>
          </w:p>
        </w:tc>
        <w:tc>
          <w:tcPr>
            <w:tcW w:w="5084" w:type="dxa"/>
            <w:vAlign w:val="center"/>
          </w:tcPr>
          <w:p w14:paraId="37F8265C">
            <w:pPr>
              <w:spacing w:before="0"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sz w:val="22"/>
              </w:rPr>
              <w:t>细化系统用例图（补充 include/extend/泛化）、撰写全部用例叙述、本报告排版</w:t>
            </w:r>
          </w:p>
        </w:tc>
      </w:tr>
    </w:tbl>
    <w:p w14:paraId="543BD039">
      <w:pPr>
        <w:spacing w:before="120"/>
        <w:rPr>
          <w:rFonts w:ascii="Times New Roman" w:hAnsi="Times New Roman"/>
        </w:rPr>
      </w:pPr>
      <w:r>
        <w:rPr>
          <w:rFonts w:ascii="Times New Roman" w:hAnsi="Times New Roman" w:eastAsia="宋体"/>
          <w:b w:val="0"/>
          <w:sz w:val="24"/>
        </w:rPr>
        <w:t>本报告由成员B 叶梅冰主笔撰写，成员A 易雨杰参与评审。</w:t>
      </w:r>
    </w:p>
    <w:p w14:paraId="58C57F6A">
      <w:pPr>
        <w:spacing w:after="0"/>
        <w:rPr>
          <w:rFonts w:ascii="Times New Roman" w:hAnsi="Times New Roman"/>
        </w:rPr>
      </w:pPr>
    </w:p>
    <w:tbl>
      <w:tblPr>
        <w:tblStyle w:val="32"/>
        <w:tblW w:w="9072" w:type="dxa"/>
        <w:jc w:val="center"/>
        <w:tblBorders>
          <w:top w:val="dashed" w:color="BFBFBF" w:sz="6" w:space="0"/>
          <w:left w:val="dashed" w:color="BFBFBF" w:sz="6" w:space="0"/>
          <w:bottom w:val="dashed" w:color="BFBFBF" w:sz="6" w:space="0"/>
          <w:right w:val="dashed" w:color="BFBFBF" w:sz="6" w:space="0"/>
          <w:insideH w:val="dashed" w:color="BFBFBF" w:sz="6" w:space="0"/>
          <w:insideV w:val="dashed" w:color="BFBFBF" w:sz="6" w:space="0"/>
        </w:tblBorders>
        <w:tblLayout w:type="fixed"/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9072"/>
      </w:tblGrid>
      <w:tr w14:paraId="2F895120">
        <w:tblPrEx>
          <w:tblBorders>
            <w:top w:val="dashed" w:color="BFBFBF" w:sz="6" w:space="0"/>
            <w:left w:val="dashed" w:color="BFBFBF" w:sz="6" w:space="0"/>
            <w:bottom w:val="dashed" w:color="BFBFBF" w:sz="6" w:space="0"/>
            <w:right w:val="dashed" w:color="BFBFBF" w:sz="6" w:space="0"/>
            <w:insideH w:val="dashed" w:color="BFBFBF" w:sz="6" w:space="0"/>
            <w:insideV w:val="dashed" w:color="BFBFBF" w:sz="6" w:space="0"/>
          </w:tblBorders>
          <w:tblCellMar>
            <w:top w:w="60" w:type="dxa"/>
            <w:left w:w="108" w:type="dxa"/>
            <w:bottom w:w="60" w:type="dxa"/>
            <w:right w:w="108" w:type="dxa"/>
          </w:tblCellMar>
        </w:tblPrEx>
        <w:trPr>
          <w:trHeight w:val="1701" w:hRule="atLeast"/>
          <w:jc w:val="center"/>
        </w:trPr>
        <w:tc>
          <w:tcPr>
            <w:tcW w:w="9072" w:type="dxa"/>
            <w:vAlign w:val="center"/>
          </w:tcPr>
          <w:p w14:paraId="1328404F">
            <w:pPr>
              <w:spacing w:before="0"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宋体"/>
                <w:b w:val="0"/>
                <w:color w:val="808080"/>
                <w:sz w:val="21"/>
              </w:rPr>
              <w:t>（提交前补入：成员A、成员B 针对实验2 PR 的互评与合并截图）</w:t>
            </w:r>
          </w:p>
        </w:tc>
      </w:tr>
    </w:tbl>
    <w:p w14:paraId="5BE38EC5">
      <w:pPr>
        <w:jc w:val="center"/>
        <w:rPr>
          <w:rFonts w:ascii="Times New Roman" w:hAnsi="Times New Roman"/>
        </w:rPr>
      </w:pPr>
      <w:r>
        <w:rPr>
          <w:rFonts w:ascii="Times New Roman" w:hAnsi="Times New Roman" w:eastAsia="宋体"/>
          <w:b w:val="0"/>
          <w:sz w:val="18"/>
        </w:rPr>
        <w:t>图2 实验2 PR 评审与合并记录（提交前补入）</w:t>
      </w:r>
    </w:p>
    <w:p w14:paraId="41DF9F41">
      <w:pPr>
        <w:rPr>
          <w:rFonts w:ascii="Times New Roman" w:hAnsi="Times New Roman"/>
        </w:rPr>
      </w:pPr>
    </w:p>
    <w:sectPr>
      <w:pgSz w:w="11906" w:h="16838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0000012" w:usb3="00000000" w:csb0="4002009F" w:csb1="DFD7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91C4700"/>
    <w:rsid w:val="1E260D3E"/>
    <w:rsid w:val="39056EF1"/>
    <w:rsid w:val="46E9299C"/>
    <w:rsid w:val="5BB822D1"/>
    <w:rsid w:val="6A2339F7"/>
    <w:rsid w:val="79CC693D"/>
    <w:rsid w:val="7B927875"/>
    <w:rsid w:val="7E2F1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710</Words>
  <Characters>894</Characters>
  <Lines>0</Lines>
  <Paragraphs>0</Paragraphs>
  <TotalTime>1</TotalTime>
  <ScaleCrop>false</ScaleCrop>
  <LinksUpToDate>false</LinksUpToDate>
  <CharactersWithSpaces>959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叶梅冰</dc:creator>
  <dc:description>根据实验一报告版式整理；正文作者叶梅冰，评审易雨杰。</dc:description>
  <cp:lastModifiedBy>WPS_1648904020</cp:lastModifiedBy>
  <dcterms:modified xsi:type="dcterms:W3CDTF">2026-10-30T11:57:48Z</dcterms:modified>
  <dc:subject>CST9301 软件工程 实验2</dc:subject>
  <dc:title>实验2 UML用例图及用例叙述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eyJoZGlkIjoiZjVhNGJiMWVmZTg4ZjFhYWZhYWFiMzBkODkwYWRkZmUiLCJ1c2VySWQiOiIxMzUzMTkzNjI3In0=</vt:lpwstr>
  </property>
  <property fmtid="{D5CDD505-2E9C-101B-9397-08002B2CF9AE}" pid="3" name="KSOProductBuildVer">
    <vt:lpwstr>2052-12.1.0.29161</vt:lpwstr>
  </property>
  <property fmtid="{D5CDD505-2E9C-101B-9397-08002B2CF9AE}" pid="4" name="ICV">
    <vt:lpwstr>704B9381AA4D42039DB0904165661D1C_12</vt:lpwstr>
  </property>
</Properties>
</file>