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bCs/>
          <w:rFonts w:ascii="Arial" w:eastAsia="Microsoft YaHei" w:hAnsi="Arial"/>
          <w:sz w:val="34"/>
          <w:szCs w:val="34"/>
        </w:rPr>
        <w:t xml:space="preserve">海底隧道垃圾清扫车遥操作系统报价单</w:t>
      </w:r>
    </w:p>
    <w:tbl>
      <w:tblPr>
        <w:tblW w:w="6800" w:type="dxa"/>
        <w:tblCellMar>
          <w:top w:w="0" w:type="dxa"/>
          <w:left w:w="30" w:type="dxa"/>
          <w:bottom w:w="0" w:type="dxa"/>
          <w:right w:w="3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0"/>
        <w:gridCol w:w="5200"/>
      </w:tblGrid>
      <w:tr>
        <w:tc>
          <w:tcPr>
            <w:tcW w:w="1600" w:type="dxa"/>
            <w:vAlign w:val="center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7"/>
                <w:szCs w:val="17"/>
              </w:rPr>
              <w:t xml:space="preserve">设备型号：</w:t>
            </w:r>
          </w:p>
        </w:tc>
        <w:tc>
          <w:tcPr>
            <w:tcW w:w="5200" w:type="dxa"/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7"/>
                <w:szCs w:val="17"/>
              </w:rPr>
              <w:t xml:space="preserve">报价时间：</w:t>
            </w:r>
          </w:p>
        </w:tc>
        <w:tc>
          <w:tcPr>
            <w:tcW w:w="5200" w:type="dxa"/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7"/>
                <w:szCs w:val="17"/>
              </w:rPr>
              <w:t xml:space="preserve">报价人：</w:t>
            </w:r>
          </w:p>
        </w:tc>
        <w:tc>
          <w:tcPr>
            <w:tcW w:w="5200" w:type="dxa"/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7"/>
                <w:szCs w:val="17"/>
              </w:rPr>
              <w:t xml:space="preserve">联系方式：</w:t>
            </w:r>
          </w:p>
        </w:tc>
        <w:tc>
          <w:tcPr>
            <w:tcW w:w="5200" w:type="dxa"/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/>
            </w:r>
          </w:p>
        </w:tc>
      </w:tr>
    </w:tbl>
    <w:p>
      <w:r>
        <w:rPr>
          <w:rFonts w:ascii="Arial" w:eastAsia="Microsoft YaHei" w:hAnsi="Arial"/>
          <w:sz w:val="4"/>
          <w:szCs w:val="4"/>
        </w:rPr>
        <w:t xml:space="preserve"/>
      </w:r>
    </w:p>
    <w:tbl>
      <w:tblPr>
        <w:tblW w:w="0" w:type="auto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5" w:type="dxa"/>
          <w:left w:w="55" w:type="dxa"/>
          <w:bottom w:w="35" w:type="dxa"/>
          <w:right w:w="55" w:type="dxa"/>
        </w:tblCellMar>
      </w:tblPr>
      <w:tblGrid>
        <w:gridCol w:w="820"/>
        <w:gridCol w:w="3000"/>
        <w:gridCol w:w="10380"/>
        <w:gridCol w:w="1860"/>
      </w:tblGrid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序号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名称</w:t>
            </w:r>
          </w:p>
        </w:tc>
        <w:tc>
          <w:tcPr>
            <w:tcW w:w="10380" w:type="dxa"/>
            <w:vAlign w:val="center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配置/功能描述</w:t>
            </w:r>
          </w:p>
        </w:tc>
        <w:tc>
          <w:tcPr>
            <w:tcW w:w="1860" w:type="dxa"/>
            <w:vAlign w:val="center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功能报价</w:t>
            </w:r>
          </w:p>
        </w:tc>
      </w:tr>
      <w:tr>
        <w:tc>
          <w:tcPr>
            <w:tcW w:w="820" w:type="dxa"/>
            <w:vAlign w:val="center"/>
            <w:shd w:fill="F0F0F0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1</w:t>
            </w:r>
          </w:p>
        </w:tc>
        <w:tc>
          <w:tcPr>
            <w:tcW w:w="15240" w:type="dxa"/>
            <w:vAlign w:val="center"/>
            <w:gridSpan w:val="3"/>
            <w:shd w:fill="F0F0F0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通讯模块</w:t>
            </w:r>
          </w:p>
        </w:tc>
      </w:tr>
      <w:tr>
        <w:tc>
          <w:tcPr>
            <w:tcW w:w="82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1.1</w:t>
            </w:r>
          </w:p>
        </w:tc>
        <w:tc>
          <w:tcPr>
            <w:tcW w:w="3000" w:type="dxa"/>
            <w:vAlign w:val="center"/>
            <w:shd w:fill="FAFAFA"/>
          </w:tcPr>
          <w:p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通讯硬件系统</w:t>
            </w:r>
          </w:p>
        </w:tc>
        <w:tc>
          <w:tcPr>
            <w:tcW w:w="10380" w:type="dxa"/>
            <w:vAlign w:val="center"/>
            <w:shd w:fill="FAFAFA"/>
          </w:tcPr>
          <w:p>
            <w:r>
              <w:rPr>
                <w:rFonts w:ascii="Arial" w:eastAsia="Microsoft YaHei" w:hAnsi="Arial"/>
                <w:sz w:val="16"/>
                <w:szCs w:val="16"/>
              </w:rPr>
              <w:t xml:space="preserve"/>
            </w:r>
          </w:p>
        </w:tc>
        <w:tc>
          <w:tcPr>
            <w:tcW w:w="186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税率：13%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1.1.1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车端通信接入单元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含：</w:t>
            </w:r>
          </w:p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• 工业级 5G/4G CPE、车端通信网关、接口转换模块及防护安装附件。</w:t>
            </w:r>
          </w:p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• 用于接入甲方从端车辆控制接口、状态反馈接口和视频/传感器数据接口。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36000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1.1.2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主端通信接入单元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含：</w:t>
            </w:r>
          </w:p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• 主端网络接入设备、加密通信组件、链路质量监测组件及网络配置服务。</w:t>
            </w:r>
          </w:p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• 支持 5G/专网/Wi-Fi/有线网络接入，可根据现场条件进行主备链路配置。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24000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1.1.3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系统部署服务器
（可由甲方提供）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用于视频流转发、通信服务部署、日志缓存、系统配置和本地化运行管理。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18000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1.1.4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安装辅材与现场联调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含车端/主端网络布线、安装附件、接口调试工具、现场链路测试及通信稳定性调试。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16000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通讯硬件系统合计：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94000</w:t>
            </w:r>
          </w:p>
        </w:tc>
      </w:tr>
      <w:tr>
        <w:tc>
          <w:tcPr>
            <w:tcW w:w="82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1.2</w:t>
            </w:r>
          </w:p>
        </w:tc>
        <w:tc>
          <w:tcPr>
            <w:tcW w:w="3000" w:type="dxa"/>
            <w:vAlign w:val="center"/>
            <w:shd w:fill="FAFAFA"/>
          </w:tcPr>
          <w:p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通讯软件系统</w:t>
            </w:r>
          </w:p>
        </w:tc>
        <w:tc>
          <w:tcPr>
            <w:tcW w:w="10380" w:type="dxa"/>
            <w:vAlign w:val="center"/>
            <w:shd w:fill="FAFAFA"/>
          </w:tcPr>
          <w:p>
            <w:r>
              <w:rPr>
                <w:rFonts w:ascii="Arial" w:eastAsia="Microsoft YaHei" w:hAnsi="Arial"/>
                <w:sz w:val="16"/>
                <w:szCs w:val="16"/>
              </w:rPr>
              <w:t xml:space="preserve"/>
            </w:r>
          </w:p>
        </w:tc>
        <w:tc>
          <w:tcPr>
            <w:tcW w:w="186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税率：13%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1.2.1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低时延加密通信系统 V1.0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功能效果：对视频、控制指令、车辆状态数据进行分通道传输和加密处理，并提供链路质量监测、断线检测、自动重连和通信异常告警。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39000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1.2.2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主从接口协议适配系统 V1.0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功能效果：根据甲方提供的从端接口协议，完成转向、驱动/油门、制动、档位、清扫机构、灯光、急停及状态反馈等数据协议适配。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35000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通讯软件系统合计：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74000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通讯模块合计：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168000</w:t>
            </w:r>
          </w:p>
        </w:tc>
      </w:tr>
      <w:tr>
        <w:tc>
          <w:tcPr>
            <w:tcW w:w="820" w:type="dxa"/>
            <w:vAlign w:val="center"/>
            <w:shd w:fill="F0F0F0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2</w:t>
            </w:r>
          </w:p>
        </w:tc>
        <w:tc>
          <w:tcPr>
            <w:tcW w:w="15240" w:type="dxa"/>
            <w:vAlign w:val="center"/>
            <w:gridSpan w:val="3"/>
            <w:shd w:fill="F0F0F0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远程操作台</w:t>
            </w:r>
          </w:p>
        </w:tc>
      </w:tr>
      <w:tr>
        <w:tc>
          <w:tcPr>
            <w:tcW w:w="82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2.1</w:t>
            </w:r>
          </w:p>
        </w:tc>
        <w:tc>
          <w:tcPr>
            <w:tcW w:w="3000" w:type="dxa"/>
            <w:vAlign w:val="center"/>
            <w:shd w:fill="FAFAFA"/>
          </w:tcPr>
          <w:p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主端操控硬件系统</w:t>
            </w:r>
          </w:p>
        </w:tc>
        <w:tc>
          <w:tcPr>
            <w:tcW w:w="10380" w:type="dxa"/>
            <w:vAlign w:val="center"/>
            <w:shd w:fill="FAFAFA"/>
          </w:tcPr>
          <w:p>
            <w:r>
              <w:rPr>
                <w:rFonts w:ascii="Arial" w:eastAsia="Microsoft YaHei" w:hAnsi="Arial"/>
                <w:sz w:val="16"/>
                <w:szCs w:val="16"/>
              </w:rPr>
              <w:t xml:space="preserve"/>
            </w:r>
          </w:p>
        </w:tc>
        <w:tc>
          <w:tcPr>
            <w:tcW w:w="186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税率：13%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2.1.1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远程操控台主体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含：</w:t>
            </w:r>
          </w:p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• 远程驾驶座椅、方向盘、油门/制动踏板、作业手柄、急停按钮、工业按钮旋钮及金属台架。</w:t>
            </w:r>
          </w:p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• 适配海底隧道垃圾清扫车低速行驶、清扫作业启停、人工接管和紧急停车等操作需求。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88000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2.1.2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显示与音视频交互单元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含多屏显示、视频输入输出、语音对讲、声光告警和状态提示组件，用于远程驾驶视野、清扫区域和车辆周边状态监看。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42000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2.1.3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工业控制主机与电气集成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含工业控制主机、I/O 采集模块、操控信号采集系统、供电保护和主端电气集成，具备连续运行和主动散热能力。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26000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主端操控硬件系统合计：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156000</w:t>
            </w:r>
          </w:p>
        </w:tc>
      </w:tr>
      <w:tr>
        <w:tc>
          <w:tcPr>
            <w:tcW w:w="82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2.2</w:t>
            </w:r>
          </w:p>
        </w:tc>
        <w:tc>
          <w:tcPr>
            <w:tcW w:w="3000" w:type="dxa"/>
            <w:vAlign w:val="center"/>
            <w:shd w:fill="FAFAFA"/>
          </w:tcPr>
          <w:p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主端软件系统</w:t>
            </w:r>
          </w:p>
        </w:tc>
        <w:tc>
          <w:tcPr>
            <w:tcW w:w="10380" w:type="dxa"/>
            <w:vAlign w:val="center"/>
            <w:shd w:fill="FAFAFA"/>
          </w:tcPr>
          <w:p>
            <w:r>
              <w:rPr>
                <w:rFonts w:ascii="Arial" w:eastAsia="Microsoft YaHei" w:hAnsi="Arial"/>
                <w:sz w:val="16"/>
                <w:szCs w:val="16"/>
              </w:rPr>
              <w:t xml:space="preserve"/>
            </w:r>
          </w:p>
        </w:tc>
        <w:tc>
          <w:tcPr>
            <w:tcW w:w="186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税率：13%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2.2.1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遥操作人机交互平台 V1.0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功能效果：集成多路视频监看、远程驾驶控制、清扫作业控制、车辆状态仪表盘、告警弹窗和操作权限管理。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38000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2.2.2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状态监测与日志管理系统 V1.0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功能效果：记录操作指令、车辆状态、通信状态和告警事件，支持本地查询、故障追溯、试运行记录和验收数据整理。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24000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主端软件系统合计：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62000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远程操作台合计：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218000</w:t>
            </w:r>
          </w:p>
        </w:tc>
      </w:tr>
      <w:tr>
        <w:tc>
          <w:tcPr>
            <w:tcW w:w="820" w:type="dxa"/>
            <w:vAlign w:val="center"/>
            <w:shd w:fill="F0F0F0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3</w:t>
            </w:r>
          </w:p>
        </w:tc>
        <w:tc>
          <w:tcPr>
            <w:tcW w:w="15240" w:type="dxa"/>
            <w:vAlign w:val="center"/>
            <w:gridSpan w:val="3"/>
            <w:shd w:fill="F0F0F0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遥操作控制算法</w:t>
            </w:r>
          </w:p>
        </w:tc>
      </w:tr>
      <w:tr>
        <w:tc>
          <w:tcPr>
            <w:tcW w:w="82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3.1</w:t>
            </w:r>
          </w:p>
        </w:tc>
        <w:tc>
          <w:tcPr>
            <w:tcW w:w="3000" w:type="dxa"/>
            <w:vAlign w:val="center"/>
            <w:shd w:fill="FAFAFA"/>
          </w:tcPr>
          <w:p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遥操作控制算法系统</w:t>
            </w:r>
          </w:p>
        </w:tc>
        <w:tc>
          <w:tcPr>
            <w:tcW w:w="10380" w:type="dxa"/>
            <w:vAlign w:val="center"/>
            <w:shd w:fill="FAFAFA"/>
          </w:tcPr>
          <w:p>
            <w:r>
              <w:rPr>
                <w:rFonts w:ascii="Arial" w:eastAsia="Microsoft YaHei" w:hAnsi="Arial"/>
                <w:sz w:val="16"/>
                <w:szCs w:val="16"/>
              </w:rPr>
              <w:t xml:space="preserve"/>
            </w:r>
          </w:p>
        </w:tc>
        <w:tc>
          <w:tcPr>
            <w:tcW w:w="186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税率：13%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3.1.1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驾驶控制指令映射算法 V1.0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功能效果：将主端方向盘、踏板、手柄和按钮输入映射为从端车辆可执行的转向、驱动/油门、制动、档位及清扫作业控制指令。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42000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3.1.2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指令平滑与延迟补偿算法 V1.0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功能效果：对遥操作指令进行限幅、滤波、斜率约束和网络延迟补偿，降低车辆低速清扫过程中的顿挫、误触发和控制抖动。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35800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3.1.3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清扫作业协同控制策略 V1.0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功能效果：面向海底隧道垃圾清扫场景，实现行驶速度、清扫机构启停、作业状态提示和异常暂停之间的协同控制。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27000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遥操作控制算法系统合计：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104800</w:t>
            </w:r>
          </w:p>
        </w:tc>
      </w:tr>
      <w:tr>
        <w:tc>
          <w:tcPr>
            <w:tcW w:w="82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3.2</w:t>
            </w:r>
          </w:p>
        </w:tc>
        <w:tc>
          <w:tcPr>
            <w:tcW w:w="3000" w:type="dxa"/>
            <w:vAlign w:val="center"/>
            <w:shd w:fill="FAFAFA"/>
          </w:tcPr>
          <w:p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安全策略与标定联调</w:t>
            </w:r>
          </w:p>
        </w:tc>
        <w:tc>
          <w:tcPr>
            <w:tcW w:w="10380" w:type="dxa"/>
            <w:vAlign w:val="center"/>
            <w:shd w:fill="FAFAFA"/>
          </w:tcPr>
          <w:p>
            <w:r>
              <w:rPr>
                <w:rFonts w:ascii="Arial" w:eastAsia="Microsoft YaHei" w:hAnsi="Arial"/>
                <w:sz w:val="16"/>
                <w:szCs w:val="16"/>
              </w:rPr>
              <w:t xml:space="preserve"/>
            </w:r>
          </w:p>
        </w:tc>
        <w:tc>
          <w:tcPr>
            <w:tcW w:w="1860" w:type="dxa"/>
            <w:vAlign w:val="center"/>
            <w:shd w:fill="FAFAFA"/>
          </w:tcPr>
          <w:p>
            <w:pPr>
              <w:jc w:val="center"/>
            </w:pPr>
            <w:r>
              <w:rPr>
                <w:b/>
                <w:bCs/>
                <w:rFonts w:ascii="Arial" w:eastAsia="Microsoft YaHei" w:hAnsi="Arial"/>
                <w:sz w:val="16"/>
                <w:szCs w:val="16"/>
              </w:rPr>
              <w:t xml:space="preserve">税率：13%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3.2.1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异常工况安全策略 V1.0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功能效果：在通信中断、急停触发、状态异常、指令超限或人工接管时，执行限速、清扫暂停、告警提示和安全停车策略。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32000</w:t>
            </w:r>
          </w:p>
        </w:tc>
      </w:tr>
      <w:tr>
        <w:tc>
          <w:tcPr>
            <w:tcW w:w="820" w:type="dxa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3.2.2</w:t>
            </w:r>
          </w:p>
        </w:tc>
        <w:tc>
          <w:tcPr>
            <w:tcW w:w="300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参数标定与主从端联调优化</w:t>
            </w:r>
          </w:p>
        </w:tc>
        <w:tc>
          <w:tcPr>
            <w:tcW w:w="10380" w:type="dxa"/>
            <w:vAlign w:val="center"/>
          </w:tcPr>
          <w:p>
            <w:r>
              <w:rPr>
                <w:rFonts w:ascii="Arial" w:eastAsia="Microsoft YaHei" w:hAnsi="Arial"/>
                <w:sz w:val="15"/>
                <w:szCs w:val="15"/>
              </w:rPr>
              <w:t xml:space="preserve">含转向零位、踏板响应、制动阈值、清扫机构响应、通信延迟阈值和安全停车阈值等参数标定及现场控制效果优化。</w:t>
            </w:r>
          </w:p>
        </w:tc>
        <w:tc>
          <w:tcPr>
            <w:tcW w:w="1860" w:type="dxa"/>
            <w:vAlign w:val="center"/>
          </w:tcPr>
          <w:p>
            <w:pPr>
              <w:jc w:val="right"/>
            </w:pPr>
            <w:r>
              <w:rPr>
                <w:rFonts w:ascii="Arial" w:eastAsia="Microsoft YaHei" w:hAnsi="Arial"/>
                <w:sz w:val="15"/>
                <w:szCs w:val="15"/>
              </w:rPr>
              <w:t xml:space="preserve">26000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安全策略与标定联调合计：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58000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遥操作控制算法合计：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162800</w:t>
            </w:r>
          </w:p>
        </w:tc>
      </w:tr>
      <w:tr>
        <w:tc>
          <w:tcPr>
            <w:tcW w:w="14200" w:type="dxa"/>
            <w:vAlign w:val="center"/>
            <w:gridSpan w:val="3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报价总计（元）：</w:t>
            </w:r>
          </w:p>
        </w:tc>
        <w:tc>
          <w:tcPr>
            <w:tcW w:w="1860" w:type="dxa"/>
            <w:vAlign w:val="center"/>
            <w:shd w:fill="F7F7F7"/>
          </w:tcPr>
          <w:p>
            <w:pPr>
              <w:jc w:val="right"/>
            </w:pPr>
            <w:r>
              <w:rPr>
                <w:b/>
                <w:bCs/>
                <w:rFonts w:ascii="Arial" w:eastAsia="Microsoft YaHei" w:hAnsi="Arial"/>
                <w:sz w:val="15"/>
                <w:szCs w:val="15"/>
              </w:rPr>
              <w:t xml:space="preserve">548800</w:t>
            </w:r>
          </w:p>
        </w:tc>
      </w:tr>
    </w:tbl>
    <w:p>
      <w:r>
        <w:rPr>
          <w:rFonts w:ascii="Arial" w:eastAsia="Microsoft YaHei" w:hAnsi="Arial"/>
          <w:sz w:val="4"/>
          <w:szCs w:val="4"/>
        </w:rPr>
        <w:t xml:space="preserve"/>
      </w:r>
    </w:p>
    <w:p>
      <w:r>
        <w:rPr>
          <w:b/>
          <w:bCs/>
          <w:rFonts w:ascii="Arial" w:eastAsia="Microsoft YaHei" w:hAnsi="Arial"/>
          <w:sz w:val="15"/>
          <w:szCs w:val="15"/>
        </w:rPr>
        <w:t xml:space="preserve">备注：</w:t>
      </w:r>
    </w:p>
    <w:p>
      <w:r>
        <w:rPr>
          <w:rFonts w:ascii="Arial" w:eastAsia="Microsoft YaHei" w:hAnsi="Arial"/>
          <w:sz w:val="15"/>
          <w:szCs w:val="15"/>
        </w:rPr>
        <w:t xml:space="preserve">1. 本报价为含税价格，交货地点、报价有效期、交货期及付款方式以双方合同约定为准。</w:t>
      </w:r>
    </w:p>
    <w:p>
      <w:r>
        <w:rPr>
          <w:rFonts w:ascii="Arial" w:eastAsia="Microsoft YaHei" w:hAnsi="Arial"/>
          <w:sz w:val="15"/>
          <w:szCs w:val="15"/>
        </w:rPr>
        <w:t xml:space="preserve">2. 从端车辆由甲方提供，且应已具备远程控制能力；甲方需提供转向、驱动/油门、制动、档位、清扫机构、灯光、急停等远控接口及完整接口协议。</w:t>
      </w:r>
    </w:p>
    <w:p>
      <w:r>
        <w:rPr>
          <w:rFonts w:ascii="Arial" w:eastAsia="Microsoft YaHei" w:hAnsi="Arial"/>
          <w:sz w:val="15"/>
          <w:szCs w:val="15"/>
        </w:rPr>
        <w:t xml:space="preserve">3. 甲方需提供从端状态反馈接口，包括车速、档位、电量/油量、故障码、急停状态、清扫机构状态及必要的视频/传感器接入条件。</w:t>
      </w:r>
    </w:p>
    <w:p>
      <w:r>
        <w:rPr>
          <w:rFonts w:ascii="Arial" w:eastAsia="Microsoft YaHei" w:hAnsi="Arial"/>
          <w:sz w:val="15"/>
          <w:szCs w:val="15"/>
        </w:rPr>
        <w:t xml:space="preserve">4. 从端车辆应具备本地安全保护能力，包括本地急停、通信中断自动停车、控制指令超限保护、人工接管及故障安全停车机制。</w:t>
      </w:r>
    </w:p>
    <w:p>
      <w:r>
        <w:rPr>
          <w:rFonts w:ascii="Arial" w:eastAsia="Microsoft YaHei" w:hAnsi="Arial"/>
          <w:sz w:val="15"/>
          <w:szCs w:val="15"/>
        </w:rPr>
        <w:t xml:space="preserve">5. 本报价不含从端车辆本体、底盘线控改造、清扫机构硬件改造、车辆控制器内部程序修改、隧道通信基础设施建设、网络流量费、车辆保养及运营耗材费用；若需新增或改造，费用另计。</w:t>
      </w:r>
    </w:p>
    <w:sectPr>
      <w:pgSz w:w="16838" w:h="11906" w:orient="landscape"/>
      <w:pgMar w:top="420" w:right="420" w:bottom="420" w:left="42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eastAsia="Microsoft YaHei" w:hAnsi="Arial"/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海底隧道垃圾清扫车遥操作系统报价单</dc:title>
  <dc:creator>Codex</dc:creator>
  <cp:lastModifiedBy>Codex</cp:lastModifiedBy>
  <dcterms:created xsi:type="dcterms:W3CDTF">2026-06-29T04:40:53Z</dcterms:created>
  <dcterms:modified xsi:type="dcterms:W3CDTF">2026-06-29T04:40:53Z</dcterms:modified>
</cp:coreProperties>
</file>