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14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MoonQuery 项目申报书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000000"/>
          <w:sz w:val="25"/>
        </w:rPr>
        <w:t>面向 MoonBit 与 WebAssembly 的嵌入式列式查询引擎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2088"/>
            <w:shd w:fill="E7EE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MoonQuery</w:t>
            </w:r>
          </w:p>
        </w:tc>
      </w:tr>
      <w:tr>
        <w:tc>
          <w:tcPr>
            <w:tcW w:type="dxa" w:w="2088"/>
            <w:shd w:fill="E7EE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项目负责人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苏天伟</w:t>
            </w:r>
          </w:p>
        </w:tc>
      </w:tr>
      <w:tr>
        <w:tc>
          <w:tcPr>
            <w:tcW w:type="dxa" w:w="2088"/>
            <w:shd w:fill="E7EE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代码仓库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https://github.com/STW135-2026/moonquery</w:t>
            </w:r>
          </w:p>
        </w:tc>
      </w:tr>
      <w:tr>
        <w:tc>
          <w:tcPr>
            <w:tcW w:type="dxa" w:w="2088"/>
            <w:shd w:fill="E7EE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开源许可证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Apache-2.0</w:t>
            </w:r>
          </w:p>
        </w:tc>
      </w:tr>
      <w:tr>
        <w:tc>
          <w:tcPr>
            <w:tcW w:type="dxa" w:w="2088"/>
            <w:shd w:fill="E7EEF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底层依赖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shunge/arrow@0.1.0  MIT</w:t>
            </w:r>
          </w:p>
        </w:tc>
      </w:tr>
    </w:tbl>
    <w:p>
      <w:pPr>
        <w:spacing w:before="260" w:after="140" w:line="324" w:lineRule="auto"/>
      </w:pPr>
      <w:r>
        <w:rPr>
          <w:rFonts w:ascii="Microsoft YaHei" w:hAnsi="Microsoft YaHei" w:eastAsia="Microsoft YaHei"/>
          <w:b/>
          <w:color w:val="000000"/>
          <w:sz w:val="22"/>
        </w:rPr>
        <w:t xml:space="preserve">项目结论  </w:t>
      </w:r>
      <w:r>
        <w:rPr>
          <w:rFonts w:ascii="Microsoft YaHei" w:hAnsi="Microsoft YaHei" w:eastAsia="Microsoft YaHei"/>
          <w:b w:val="0"/>
          <w:color w:val="000000"/>
          <w:sz w:val="22"/>
        </w:rPr>
        <w:t>MoonQuery 已完成从 Arrow IPC 基础库到查询执行层的代码级转型。项目直接依赖现有 shunge/arrow，当前仓库不再包含 IPC、FlatBuffers、位图或自建 RecordBatch，只申报已经通过四后端测试的查询能力。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一 项目简介</w:t>
      </w:r>
    </w:p>
    <w:p>
      <w:pPr>
        <w:spacing w:after="120" w:line="324" w:lineRule="auto"/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MoonQuery 是运行在 Arrow RecordBatch 之上的 MoonBit 查询执行层。它接收由 shunge/arrow 读取或创建的列式数据，通过可组合谓词和逻辑查询计划完成过滤、投影、限制、排序、分组聚合和内连接，再把合法的 Arrow RecordBatch 交还给 shunge/arrow 输出为标准 Arrow IPC 数据。</w:t>
      </w:r>
    </w:p>
    <w:p>
      <w:pPr>
        <w:spacing w:after="120" w:line="324" w:lineRule="auto"/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MoonQuery 不实现 IPC Stream 或 File 编解码、FlatBuffers、Arrow 位图或另一套 Schema 和 RecordBatch。这些格式基础设施直接复用现有 shunge/arrow，项目代码只聚焦其未覆盖的查询与计算层。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二 背景和实际价值</w:t>
      </w:r>
    </w:p>
    <w:p>
      <w:pPr>
        <w:spacing w:after="120" w:line="324" w:lineRule="auto"/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Arrow 解决不同语言与系统之间如何交换列式数据，但能够读取数据不等于能够在 MoonBit 中查询数据。MoonBit 应用收到数据库、Python 数据工具或浏览器端的 Arrow 批次后，仍然需要筛选、选列、排序、分组统计和表关联。MoonQuery 补齐这一执行层。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1. 浏览器离线分析。MoonBit/Wasm 在本地处理 Arrow 数据，无需上传敏感数据。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2. 数据库结果后处理。对 Arrow 查询结果继续筛选、聚合或关联小型维表。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3. ETL 和数据验证。把读取、变换和重新输出连接成可测试的数据流水线。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4. MoonBit 数据应用原型。为报表、可视化前处理和嵌入式分析提供统一执行核心。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三 当前已完成成果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能力</w:t>
            </w:r>
          </w:p>
        </w:tc>
        <w:tc>
          <w:tcPr>
            <w:tcW w:type="dxa" w:w="54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当前实现</w:t>
            </w:r>
          </w:p>
        </w:tc>
        <w:tc>
          <w:tcPr>
            <w:tcW w:type="dxa" w:w="27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验证证据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谓词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Boolean、Int32、Int64、UTF-8 类型化比较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四后端单元测试</w:t>
            </w:r>
          </w:p>
        </w:tc>
      </w:tr>
      <w:tr>
        <w:tc>
          <w:tcPr>
            <w:tcW w:type="dxa" w:w="165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空值逻辑</w:t>
            </w:r>
          </w:p>
        </w:tc>
        <w:tc>
          <w:tcPr>
            <w:tcW w:type="dxa" w:w="54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AND、OR、NOT 三值逻辑；Filter 只保留 true</w:t>
            </w:r>
          </w:p>
        </w:tc>
        <w:tc>
          <w:tcPr>
            <w:tcW w:type="dxa" w:w="27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null 与 NOT 测试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逻辑计划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延迟构建、顺序执行、Explain 输出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CLI 计划输出</w:t>
            </w:r>
          </w:p>
        </w:tc>
      </w:tr>
      <w:tr>
        <w:tc>
          <w:tcPr>
            <w:tcW w:type="dxa" w:w="165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基础算子</w:t>
            </w:r>
          </w:p>
        </w:tc>
        <w:tc>
          <w:tcPr>
            <w:tcW w:type="dxa" w:w="54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Filter、Project、Limit、稳定排序</w:t>
            </w:r>
          </w:p>
        </w:tc>
        <w:tc>
          <w:tcPr>
            <w:tcW w:type="dxa" w:w="27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组合管线测试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分组聚合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UTF-8 key、nullable Int32 SUM、COUNT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null 分组与全 null SUM 测试</w:t>
            </w:r>
          </w:p>
        </w:tc>
      </w:tr>
      <w:tr>
        <w:tc>
          <w:tcPr>
            <w:tcW w:type="dxa" w:w="165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内连接</w:t>
            </w:r>
          </w:p>
        </w:tc>
        <w:tc>
          <w:tcPr>
            <w:tcW w:type="dxa" w:w="54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Boolean、Int32、Int64、UTF-8 key；null 不匹配</w:t>
            </w:r>
          </w:p>
        </w:tc>
        <w:tc>
          <w:tcPr>
            <w:tcW w:type="dxa" w:w="27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字段前缀和连接结果测试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Arrow 交接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结果写入 IPC Stream 并重新读取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shunge/arrow 回环测试</w:t>
            </w:r>
          </w:p>
        </w:tc>
      </w:tr>
      <w:tr>
        <w:tc>
          <w:tcPr>
            <w:tcW w:type="dxa" w:w="165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目标后端</w:t>
            </w:r>
          </w:p>
        </w:tc>
        <w:tc>
          <w:tcPr>
            <w:tcW w:type="dxa" w:w="54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Native、JavaScript、Wasm、Wasm-GC</w:t>
            </w:r>
          </w:p>
        </w:tc>
        <w:tc>
          <w:tcPr>
            <w:tcW w:type="dxa" w:w="27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每个后端 10 项测试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四 核心设计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1. 数据层直接使用 shunge/arrow 的 Schema、Column 和 RecordBatch。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2. 计划层由 Query 保存数据源和有序 QueryStep；构建时不执行，调用 execute 时按顺序运行，explain 输出同一计划。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3. 执行层生成新的 Arrow 列和 RecordBatch，并在每个算子边界重新校验类型、长度和 nullability。</w:t>
      </w:r>
    </w:p>
    <w:p>
      <w:pPr>
        <w:spacing w:after="120" w:line="324" w:lineRule="auto"/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谓词求值使用 SQL 风格三值逻辑。例如 null AND false 为 false，null OR true 为 true，其余无法确定的结果保持 null；Filter 仅选择 true。分组保留 null key，SUM 忽略 null 并在整组均为 null 时返回 null，COUNT 统计行数；Join 不匹配 null key。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五 与现有模块的互补边界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32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shunge/arrow</w:t>
            </w:r>
          </w:p>
        </w:tc>
        <w:tc>
          <w:tcPr>
            <w:tcW w:type="dxa" w:w="31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MoonQuery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Arrow 数据结构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实现并维护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直接依赖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IPC 读写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实现并维护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不实现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FlatBuffers 和位图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实现并维护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不实现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Filter Project Limit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不负责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三值逻辑谓词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不负责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Sort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不负责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Group By SUM COUNT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不负责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Join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不负责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Query Plan Explain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不负责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代码级证据包括：moon.mod 明确依赖 shunge/arrow@0.1.0；生产代码只有 src/query；输入和输出均为公开依赖的 RecordBatch；仓库不存在自研 IPC、FlatBuffers、位图、Arrow Schema 或 RecordBatch。两者是交换层到查询层的依赖关系。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六 可运行演示</w:t>
      </w:r>
    </w:p>
    <w:p>
      <w:pPr>
        <w:spacing w:after="120" w:line="324" w:lineRule="auto"/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演示构造包含区域、商品、销量、收入和状态的 Arrow RecordBatch，依次筛选 units 大于 2 且 active 为 true 的记录，按 region 分组，计算 revenue 的 SUM 和每组 COUNT，按 revenue_sum 降序排列并限制结果行数。最后由 shunge/arrow 写成 Arrow IPC Stream 并重新读取。</w:t>
      </w:r>
    </w:p>
    <w:p>
      <w:pPr>
        <w:spacing w:before="80" w:after="140" w:line="276" w:lineRule="auto"/>
        <w:ind w:left="403"/>
      </w:pPr>
      <w:r>
        <w:rPr>
          <w:rFonts w:ascii="Consolas" w:hAnsi="Consolas" w:eastAsia="Consolas"/>
          <w:b w:val="0"/>
          <w:color w:val="000000"/>
          <w:sz w:val="19"/>
        </w:rPr>
        <w:t>moon update</w:t>
        <w:br/>
      </w:r>
      <w:r>
        <w:rPr>
          <w:rFonts w:ascii="Consolas" w:hAnsi="Consolas" w:eastAsia="Consolas"/>
          <w:b w:val="0"/>
          <w:color w:val="000000"/>
          <w:sz w:val="19"/>
        </w:rPr>
        <w:t>moon check --target all --deny-warn</w:t>
        <w:br/>
      </w:r>
      <w:r>
        <w:rPr>
          <w:rFonts w:ascii="Consolas" w:hAnsi="Consolas" w:eastAsia="Consolas"/>
          <w:b w:val="0"/>
          <w:color w:val="000000"/>
          <w:sz w:val="19"/>
        </w:rPr>
        <w:t>moon test --target all --deny-warn</w:t>
        <w:br/>
      </w:r>
      <w:r>
        <w:rPr>
          <w:rFonts w:ascii="Consolas" w:hAnsi="Consolas" w:eastAsia="Consolas"/>
          <w:b w:val="0"/>
          <w:color w:val="000000"/>
          <w:sz w:val="19"/>
        </w:rPr>
        <w:t>moon run cmd/main --target native</w:t>
        <w:br/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七 创新点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1. 把 MoonBit 生态中的 Arrow 数据交换能力推进到可组合查询能力。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2. 查询计划可解释、可复现，原生和浏览器后端使用同一套语义。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3. 从第一版处理 null、类型错误、字段冲突和结果批次校验。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4. 通过依赖现有模块形成生态协作，不重复实现基础格式。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八 原创和依赖边界</w:t>
      </w:r>
    </w:p>
    <w:p>
      <w:pPr>
        <w:spacing w:after="120" w:line="324" w:lineRule="auto"/>
        <w:ind w:firstLine="440"/>
      </w:pPr>
      <w:r>
        <w:rPr>
          <w:rFonts w:ascii="Microsoft YaHei" w:hAnsi="Microsoft YaHei" w:eastAsia="Microsoft YaHei"/>
          <w:b w:val="0"/>
          <w:color w:val="000000"/>
          <w:sz w:val="22"/>
        </w:rPr>
        <w:t>MoonQuery 的查询计划、谓词语义、算子实现、错误模型、测试和演示均位于本仓库。Arrow 格式、Schema、Column、RecordBatch 及 IPC 编解码来自公开依赖 shunge/arrow，不作为本项目原创成果申报。旧版探索代码只保留在 Git 历史中，不属于当前代码树和本次申报成果。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九 当前限制</w:t>
      </w:r>
    </w:p>
    <w:p>
      <w:pPr>
        <w:pStyle w:val="ListBullet"/>
        <w:spacing w:after="80" w:line="300" w:lineRule="auto"/>
        <w:ind w:left="360" w:hanging="216"/>
      </w:pPr>
      <w:r>
        <w:rPr>
          <w:rFonts w:ascii="Microsoft YaHei" w:hAnsi="Microsoft YaHei" w:eastAsia="Microsoft YaHei"/>
          <w:b w:val="0"/>
          <w:color w:val="000000"/>
          <w:sz w:val="22"/>
        </w:rPr>
        <w:t>稳定排序当前使用插入排序，内连接使用确定性嵌套循环，尚未声称适合大规模数据。</w:t>
      </w:r>
    </w:p>
    <w:p>
      <w:pPr>
        <w:pStyle w:val="ListBullet"/>
        <w:spacing w:after="80" w:line="300" w:lineRule="auto"/>
        <w:ind w:left="360" w:hanging="216"/>
      </w:pPr>
      <w:r>
        <w:rPr>
          <w:rFonts w:ascii="Microsoft YaHei" w:hAnsi="Microsoft YaHei" w:eastAsia="Microsoft YaHei"/>
          <w:b w:val="0"/>
          <w:color w:val="000000"/>
          <w:sz w:val="22"/>
        </w:rPr>
        <w:t>分组聚合当前限定 UTF-8 key 与 nullable Int32 的 SUM 和 COUNT。</w:t>
      </w:r>
    </w:p>
    <w:p>
      <w:pPr>
        <w:pStyle w:val="ListBullet"/>
        <w:spacing w:after="80" w:line="300" w:lineRule="auto"/>
        <w:ind w:left="360" w:hanging="216"/>
      </w:pPr>
      <w:r>
        <w:rPr>
          <w:rFonts w:ascii="Microsoft YaHei" w:hAnsi="Microsoft YaHei" w:eastAsia="Microsoft YaHei"/>
          <w:b w:val="0"/>
          <w:color w:val="000000"/>
          <w:sz w:val="22"/>
        </w:rPr>
        <w:t>尚未实现 SQL 文本解析、成本优化、并行执行、磁盘溢写、窗口函数或增量流式查询。</w:t>
      </w:r>
    </w:p>
    <w:p>
      <w:pPr>
        <w:pStyle w:val="ListBullet"/>
        <w:spacing w:after="80" w:line="300" w:lineRule="auto"/>
        <w:ind w:left="360" w:hanging="216"/>
      </w:pPr>
      <w:r>
        <w:rPr>
          <w:rFonts w:ascii="Microsoft YaHei" w:hAnsi="Microsoft YaHei" w:eastAsia="Microsoft YaHei"/>
          <w:b w:val="0"/>
          <w:color w:val="000000"/>
          <w:sz w:val="22"/>
        </w:rPr>
        <w:t>Arrow 类型与 IPC 支持范围由锁定的 shunge/arrow@0.1.0 决定。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 后续路线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1. 增加通用标量表达式、算术表达式、别名和更多数值比较。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2. 增加通用聚合定义、多个聚合表达式和执行前 Schema 推导。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3. 实现哈希聚合与哈希 Join，并记录可复现的性能基准。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4. 实现投影和谓词下推、常量折叠与冗余步骤消除。</w:t>
      </w:r>
    </w:p>
    <w:p>
      <w:pPr>
        <w:spacing w:after="80" w:line="300" w:lineRule="auto"/>
        <w:ind w:left="403" w:hanging="259"/>
      </w:pPr>
      <w:r>
        <w:rPr>
          <w:rFonts w:ascii="Microsoft YaHei" w:hAnsi="Microsoft YaHei" w:eastAsia="Microsoft YaHei"/>
          <w:b w:val="0"/>
          <w:color w:val="000000"/>
          <w:sz w:val="22"/>
        </w:rPr>
        <w:t>5. 构建使用同一查询核心的浏览器离线数据分析界面。</w:t>
      </w:r>
    </w:p>
    <w:p>
      <w:pPr>
        <w:pStyle w:val="Heading1"/>
        <w:keepNext/>
        <w:spacing w:before="260" w:after="100"/>
      </w:pPr>
      <w:r>
        <w:rPr>
          <w:rFonts w:ascii="Microsoft YaHei" w:hAnsi="Microsoft YaHei" w:eastAsia="Microsoft YaHei"/>
          <w:b/>
          <w:color w:val="000000"/>
          <w:sz w:val="30"/>
        </w:rPr>
        <w:t>十一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8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9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验收项</w:t>
            </w:r>
          </w:p>
        </w:tc>
        <w:tc>
          <w:tcPr>
            <w:tcW w:type="dxa" w:w="597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通过条件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严格编译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moon check --target all --deny-warn 通过</w:t>
            </w:r>
          </w:p>
        </w:tc>
      </w:tr>
      <w:tr>
        <w:tc>
          <w:tcPr>
            <w:tcW w:type="dxa" w:w="86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95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全目标测试</w:t>
            </w:r>
          </w:p>
        </w:tc>
        <w:tc>
          <w:tcPr>
            <w:tcW w:type="dxa" w:w="59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四后端每个 10 项测试全部通过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查询演示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打印逻辑计划和正确聚合结果</w:t>
            </w:r>
          </w:p>
        </w:tc>
      </w:tr>
      <w:tr>
        <w:tc>
          <w:tcPr>
            <w:tcW w:type="dxa" w:w="86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95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IPC 交接</w:t>
            </w:r>
          </w:p>
        </w:tc>
        <w:tc>
          <w:tcPr>
            <w:tcW w:type="dxa" w:w="59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结果可由 shunge/arrow 写入并读回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代码去重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生产树不存在 IPC FlatBuffers 位图等重复实现</w:t>
            </w:r>
          </w:p>
        </w:tc>
      </w:tr>
      <w:tr>
        <w:tc>
          <w:tcPr>
            <w:tcW w:type="dxa" w:w="86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95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材料一致</w:t>
            </w:r>
          </w:p>
        </w:tc>
        <w:tc>
          <w:tcPr>
            <w:tcW w:type="dxa" w:w="59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README 申报书 差异化说明与代码一致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 xml:space="preserve">MoonQuery 项目申报书  第 </w:t>
    </w:r>
    <w:r>
      <w:rPr>
        <w:rFonts w:ascii="Microsoft YaHei" w:hAnsi="Microsoft YaHei" w:eastAsia="Microsoft YaHei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MoonQuery 项目申报书</dc:title>
  <dc:subject>MoonBit 开源大赛九月黑客松项目申报</dc:subject>
  <dc:creator>苏天伟</dc:creator>
  <cp:keywords>MoonQuery MoonBit Arrow WebAssembly 查询引擎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