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0" w:after="100"/>
        <w:jc w:val="center"/>
      </w:pPr>
      <w:r>
        <w:rPr>
          <w:rFonts w:ascii="Microsoft YaHei" w:hAnsi="Microsoft YaHei" w:eastAsia="Microsoft YaHei"/>
          <w:b/>
          <w:color w:val="17365D"/>
          <w:sz w:val="44"/>
        </w:rPr>
        <w:t>MoonSentinel 项目申报书</w:t>
      </w:r>
    </w:p>
    <w:p>
      <w:pPr>
        <w:spacing w:after="300"/>
        <w:jc w:val="center"/>
      </w:pPr>
      <w:r>
        <w:rPr>
          <w:rFonts w:ascii="Microsoft YaHei" w:hAnsi="Microsoft YaHei" w:eastAsia="Microsoft YaHei"/>
          <w:b/>
          <w:color w:val="1F1F1F"/>
          <w:sz w:val="25"/>
        </w:rPr>
        <w:t>面向 Arrow 数据的质量与隐私发布门禁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6"/>
          <w:left w:val="single" w:sz="6" w:space="0" w:color="D6DEE6"/>
          <w:bottom w:val="single" w:sz="6" w:space="0" w:color="D6DEE6"/>
          <w:right w:val="single" w:sz="6" w:space="0" w:color="D6DEE6"/>
          <w:insideH w:val="single" w:sz="6" w:space="0" w:color="D6DEE6"/>
          <w:insideV w:val="single" w:sz="6" w:space="0" w:color="D6DEE6"/>
        </w:tblBorders>
      </w:tblPr>
      <w:tblGrid>
        <w:gridCol w:w="4917"/>
        <w:gridCol w:w="4917"/>
      </w:tblGrid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项目名称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MoonSentinel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项目负责人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苏天伟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代码仓库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https://github.com/STW135-2026/moonsentinel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开源许可证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Apache-2.0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底层依赖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shunge/arrow@0.1.0  MIT</w:t>
            </w:r>
          </w:p>
        </w:tc>
      </w:tr>
    </w:tbl>
    <w:p>
      <w:pPr>
        <w:spacing w:before="240" w:after="140" w:line="317" w:lineRule="auto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当前成果  </w:t>
      </w:r>
      <w:r>
        <w:rPr>
          <w:rFonts w:ascii="Microsoft YaHei" w:hAnsi="Microsoft YaHei" w:eastAsia="Microsoft YaHei"/>
          <w:b w:val="0"/>
          <w:color w:val="1F1F1F"/>
          <w:sz w:val="21"/>
        </w:rPr>
        <w:t>项目已经完成从通用查询引擎到 Arrow 数据发布门禁的实质性重构。当前生产代码不包含过滤、排序、分组、连接或 IPC 实现；已完成质量规则、错误与警告、行隔离、诊断上限、放行前脱敏和 Arrow 原生输出，并通过四个目标后端测试。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一 项目简介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MoonSentinel 是使用 MoonBit 编写的 Arrow 数据发布门禁。系统接收一个 Arrow RecordBatch 和一组声明式规则，逐行检查质量问题，区分阻断错误与非阻断警告，再生成获准数据、隔离数据和结构化诊断三个 RecordBatch。获准数据还可在交付前替换敏感 UTF-8 字段。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该项目解决的是数据已经能够交换，但尚不能安全发布的问题。它不提供过滤、排序、分组或连接等通用查询能力，也不实现 Arrow IPC、JSON Schema、Schema 版本治理或迁移计划。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二 问题和实际价值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真实数据批次可能包含重复标识、越界年龄、无效枚举、颠倒的上下界、缺失联系方式或未脱敏字段。若每个应用分别编写临时检查逻辑，规则、错误格式和处置方式会逐渐不一致。MoonSentinel 把这一步收敛为可测试的发布门禁。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数据产品发布。导出数据通过规则后才能进入报表、下载文件或下游 API。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浏览器与边缘应用。MoonBit/Wasm 在本地检查 Arrow 数据，错误行不进入后续计算。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AI 数据准备。数据进入模型或检索流程前先隔离错误行，并替换敏感文本字段。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数据管道排错。诊断结果仍是 Arrow RecordBatch，可写入 IPC、存档或展示。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三 已完成成果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6"/>
          <w:left w:val="single" w:sz="6" w:space="0" w:color="D6DEE6"/>
          <w:bottom w:val="single" w:sz="6" w:space="0" w:color="D6DEE6"/>
          <w:right w:val="single" w:sz="6" w:space="0" w:color="D6DEE6"/>
          <w:insideH w:val="single" w:sz="6" w:space="0" w:color="D6DEE6"/>
          <w:insideV w:val="single" w:sz="6" w:space="0" w:color="D6DEE6"/>
        </w:tblBorders>
      </w:tblPr>
      <w:tblGrid>
        <w:gridCol w:w="3278"/>
        <w:gridCol w:w="3278"/>
        <w:gridCol w:w="3278"/>
      </w:tblGrid>
      <w:tr>
        <w:trPr>
          <w:tblHeader w:val="true"/>
          <w:cantSplit w:val="true"/>
        </w:trPr>
        <w:tc>
          <w:tcPr>
            <w:tcW w:type="dxa" w:w="1656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6408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当前实现</w:t>
            </w:r>
          </w:p>
        </w:tc>
        <w:tc>
          <w:tcPr>
            <w:tcW w:type="dxa" w:w="194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验证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规则</w:t>
            </w:r>
          </w:p>
        </w:tc>
        <w:tc>
          <w:tcPr>
            <w:tcW w:type="dxa" w:w="64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必需列、非空、Int32/Int64 范围、非空字符串、允许列表、唯一性、跨字段顺序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单元测试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严重度</w:t>
            </w:r>
          </w:p>
        </w:tc>
        <w:tc>
          <w:tcPr>
            <w:tcW w:type="dxa" w:w="640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Error 隔离行；Warning 只记录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处置测试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数据集错误</w:t>
            </w:r>
          </w:p>
        </w:tc>
        <w:tc>
          <w:tcPr>
            <w:tcW w:type="dxa" w:w="64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缺失列和类型不符阻断整个批次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Schema 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诊断上限</w:t>
            </w:r>
          </w:p>
        </w:tc>
        <w:tc>
          <w:tcPr>
            <w:tcW w:type="dxa" w:w="640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明细可截断，错误和警告总数保持准确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截断测试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发布结果</w:t>
            </w:r>
          </w:p>
        </w:tc>
        <w:tc>
          <w:tcPr>
            <w:tcW w:type="dxa" w:w="64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approved、quarantine、findings 三个 RecordBatch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端到端测试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隐私处理</w:t>
            </w:r>
          </w:p>
        </w:tc>
        <w:tc>
          <w:tcPr>
            <w:tcW w:type="dxa" w:w="640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只替换 approved 的 UTF-8 敏感列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脱敏测试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Arrow 交接</w:t>
            </w:r>
          </w:p>
        </w:tc>
        <w:tc>
          <w:tcPr>
            <w:tcW w:type="dxa" w:w="64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findings 写入 IPC Stream 并重新读取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回环测试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后端</w:t>
            </w:r>
          </w:p>
        </w:tc>
        <w:tc>
          <w:tcPr>
            <w:tcW w:type="dxa" w:w="640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Native、JavaScript、Wasm、Wasm-GC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7 项测试全部通过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四 核心流程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校验 RecordBatch 的字段数量、列长度、类型和 nullability。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校验合同名称、规则编号、范围端点、允许列表和编号唯一性。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按规则声明顺序和源行顺序检查数据，累计错误与警告。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错误对应的行进入 quarantine，没有错误的行进入 approved。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5. 只对 approved 执行配置的字段替换脱敏。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6. 把诊断转换为包含六个字段的 Arrow RecordBatch。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findings 的字段为 rule_id、severity、row、column、code 和 message。row 为空表示缺失列或类型不符等数据集级问题。诊断文本只描述规则和字段，不包含原始敏感值。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五 示例结果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仓库演示构造 4 行客户导出数据，并检查客户编号唯一性、年龄范围、国家允许列表、订单上下界和邮件完整性。运行结果如下。</w:t>
      </w:r>
    </w:p>
    <w:p>
      <w:pPr>
        <w:spacing w:before="60" w:after="120" w:line="259" w:lineRule="auto"/>
        <w:ind w:left="403"/>
        <w:shd w:fill="F2F4F7"/>
      </w:pPr>
      <w:r>
        <w:rPr>
          <w:rFonts w:ascii="Consolas" w:hAnsi="Consolas" w:eastAsia="Consolas"/>
          <w:b w:val="0"/>
          <w:color w:val="202124"/>
          <w:sz w:val="17"/>
        </w:rPr>
        <w:t>customer-export-v1: FAIL; rows=4; accepted=1; quarantined=3;</w:t>
        <w:br/>
      </w:r>
      <w:r>
        <w:rPr>
          <w:rFonts w:ascii="Consolas" w:hAnsi="Consolas" w:eastAsia="Consolas"/>
          <w:b w:val="0"/>
          <w:color w:val="202124"/>
          <w:sz w:val="17"/>
        </w:rPr>
        <w:t>errors=7; warnings=1; findings_shown=8; truncated=false</w:t>
        <w:br/>
      </w:r>
      <w:r>
        <w:rPr>
          <w:rFonts w:ascii="Consolas" w:hAnsi="Consolas" w:eastAsia="Consolas"/>
          <w:b w:val="0"/>
          <w:color w:val="202124"/>
          <w:sz w:val="17"/>
        </w:rPr>
        <w:t>approved rows: 1</w:t>
        <w:br/>
      </w:r>
      <w:r>
        <w:rPr>
          <w:rFonts w:ascii="Consolas" w:hAnsi="Consolas" w:eastAsia="Consolas"/>
          <w:b w:val="0"/>
          <w:color w:val="202124"/>
          <w:sz w:val="17"/>
        </w:rPr>
        <w:t>quarantined rows: 3</w:t>
        <w:br/>
      </w:r>
      <w:r>
        <w:rPr>
          <w:rFonts w:ascii="Consolas" w:hAnsi="Consolas" w:eastAsia="Consolas"/>
          <w:b w:val="0"/>
          <w:color w:val="202124"/>
          <w:sz w:val="17"/>
        </w:rPr>
        <w:t>diagnostic rows: 8</w:t>
        <w:br/>
      </w:r>
      <w:r>
        <w:rPr>
          <w:rFonts w:ascii="Consolas" w:hAnsi="Consolas" w:eastAsia="Consolas"/>
          <w:b w:val="0"/>
          <w:color w:val="202124"/>
          <w:sz w:val="17"/>
        </w:rPr>
        <w:t>approved email: [REDACTED]</w:t>
        <w:br/>
      </w:r>
    </w:p>
    <w:p>
      <w:pPr>
        <w:spacing w:before="60" w:after="120" w:line="259" w:lineRule="auto"/>
        <w:ind w:left="403"/>
        <w:shd w:fill="F2F4F7"/>
      </w:pPr>
      <w:r>
        <w:rPr>
          <w:rFonts w:ascii="Consolas" w:hAnsi="Consolas" w:eastAsia="Consolas"/>
          <w:b w:val="0"/>
          <w:color w:val="202124"/>
          <w:sz w:val="17"/>
        </w:rPr>
        <w:t>moon update</w:t>
        <w:br/>
      </w:r>
      <w:r>
        <w:rPr>
          <w:rFonts w:ascii="Consolas" w:hAnsi="Consolas" w:eastAsia="Consolas"/>
          <w:b w:val="0"/>
          <w:color w:val="202124"/>
          <w:sz w:val="17"/>
        </w:rPr>
        <w:t>moon fmt --check</w:t>
        <w:br/>
      </w:r>
      <w:r>
        <w:rPr>
          <w:rFonts w:ascii="Consolas" w:hAnsi="Consolas" w:eastAsia="Consolas"/>
          <w:b w:val="0"/>
          <w:color w:val="202124"/>
          <w:sz w:val="17"/>
        </w:rPr>
        <w:t>moon check --target all --deny-warn</w:t>
        <w:br/>
      </w:r>
      <w:r>
        <w:rPr>
          <w:rFonts w:ascii="Consolas" w:hAnsi="Consolas" w:eastAsia="Consolas"/>
          <w:b w:val="0"/>
          <w:color w:val="202124"/>
          <w:sz w:val="17"/>
        </w:rPr>
        <w:t>moon test --target all --deny-warn</w:t>
        <w:br/>
      </w:r>
      <w:r>
        <w:rPr>
          <w:rFonts w:ascii="Consolas" w:hAnsi="Consolas" w:eastAsia="Consolas"/>
          <w:b w:val="0"/>
          <w:color w:val="202124"/>
          <w:sz w:val="17"/>
        </w:rPr>
        <w:t>moon run cmd/main --target native --deny-warn</w:t>
        <w:br/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六 差异化核查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6"/>
          <w:left w:val="single" w:sz="6" w:space="0" w:color="D6DEE6"/>
          <w:bottom w:val="single" w:sz="6" w:space="0" w:color="D6DEE6"/>
          <w:right w:val="single" w:sz="6" w:space="0" w:color="D6DEE6"/>
          <w:insideH w:val="single" w:sz="6" w:space="0" w:color="D6DEE6"/>
          <w:insideV w:val="single" w:sz="6" w:space="0" w:color="D6DEE6"/>
        </w:tblBorders>
      </w:tblPr>
      <w:tblGrid>
        <w:gridCol w:w="3278"/>
        <w:gridCol w:w="3278"/>
        <w:gridCol w:w="3278"/>
      </w:tblGrid>
      <w:tr>
        <w:trPr>
          <w:tblHeader w:val="true"/>
          <w:cantSplit w:val="true"/>
        </w:trPr>
        <w:tc>
          <w:tcPr>
            <w:tcW w:type="dxa" w:w="2088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对比项目</w:t>
            </w:r>
          </w:p>
        </w:tc>
        <w:tc>
          <w:tcPr>
            <w:tcW w:type="dxa" w:w="3960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已有职责</w:t>
            </w:r>
          </w:p>
        </w:tc>
        <w:tc>
          <w:tcPr>
            <w:tcW w:type="dxa" w:w="3960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MoonSentinel 的职责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shunge/arrow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Arrow 数据结构、IPC 和互操作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使用 RecordBatch；执行判定、隔离、诊断和脱敏</w:t>
            </w:r>
          </w:p>
        </w:tc>
      </w:tr>
      <w:tr>
        <w:trPr>
          <w:cantSplit w:val="true"/>
        </w:trPr>
        <w:tc>
          <w:tcPr>
            <w:tcW w:type="dxa" w:w="208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MoonFrame</w:t>
            </w:r>
          </w:p>
        </w:tc>
        <w:tc>
          <w:tcPr>
            <w:tcW w:type="dxa" w:w="396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DataFrame、表达式、过滤、排序、分组、连接和惰性查询</w:t>
            </w:r>
          </w:p>
        </w:tc>
        <w:tc>
          <w:tcPr>
            <w:tcW w:type="dxa" w:w="396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不做查询；处理质量和发布处置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moon-data-contract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Schema 治理、版本演进、兼容性和迁移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不管理版本；检查实际行并拆分批次</w:t>
            </w:r>
          </w:p>
        </w:tc>
      </w:tr>
      <w:tr>
        <w:trPr>
          <w:cantSplit w:val="true"/>
        </w:trPr>
        <w:tc>
          <w:tcPr>
            <w:tcW w:type="dxa" w:w="208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moonbit-jsonschema</w:t>
            </w:r>
          </w:p>
        </w:tc>
        <w:tc>
          <w:tcPr>
            <w:tcW w:type="dxa" w:w="396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按 JSON Schema 验证 JSON</w:t>
            </w:r>
          </w:p>
        </w:tc>
        <w:tc>
          <w:tcPr>
            <w:tcW w:type="dxa" w:w="396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不处理 JSON Schema；面向 Arrow 列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MoonJQ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JSON 查询语言和解释执行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没有查询语言；输出 Arrow 诊断</w:t>
            </w:r>
          </w:p>
        </w:tc>
      </w:tr>
    </w:tbl>
    <w:p>
      <w:pPr>
        <w:spacing w:after="20"/>
      </w:pP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初版 MoonQuery 曾实现过滤、排序、分组、连接和逻辑计划。核查 MoonFrame 后确认该方向重合度过高，因此当前代码树已经移除整个查询包，转为运行时发布门禁。Git 历史完整保留这次调整。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公开核查来源包括 github.com/ihb2032/MoonFrame、mooncakes.io/docs/shunge/arrow@0.1.0、mooncakes.io/docs/lyjttio/moon-data-contract@0.2.1、mooncakes.io/docs/Xu107-hhh/moonbit-jsonschema 和 github.com/moonbit-community/moonbit-jq。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七 创新和应用特点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获准数据、隔离数据和诊断数据使用同一种 Arrow 交换格式。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质量判定与行处置在一次调用中完成，调用方无需根据错误列表再次筛行。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诊断明细有明确上限，但统计和隔离结果不丢失。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脱敏只作用于获准数据，防止敏感数据进入下游，同时保留隔离数据的排错价值。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5. 数据集级错误和行级错误使用同一报告模型，可统一存档和展示。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八 原创和依赖边界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本仓库实现合同校验、规则执行、严重度语义、诊断上限、行隔离、脱敏策略、Arrow 诊断输出、测试和演示。Arrow Schema、Column、RecordBatch 及 IPC 编解码来自公开依赖 shunge/arrow，不作为本项目原创成果申报。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当前生产代码仅位于 src/gate，没有 DataFrame、查询计划、IPC、FlatBuffers、位图、JSON Schema 或 Schema 迁移实现。旧版探索代码只存在于 Git 历史，不属于当前交付物。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九 当前限制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规则面向单个 RecordBatch，尚未提供跨批次唯一性和时间窗口状态。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Utf8Unique 使用确定性双循环，适合 MVP 和中小批次，尚未进行哈希优化。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字符串规则尚未提供正则表达式和长度范围。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脱敏目前是固定字符串替换，尚未提供哈希、部分保留或外部密钥服务。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输入输出格式由 shunge/arrow@0.1.0 的类型和 IPC 支持范围决定。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十 后续路线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增加字符串长度、模式、数值集合和条件规则。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为唯一性规则增加确定性哈希索引，并建立不同批次规模的基准。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增加电子邮件和手机号等可组合脱敏策略，同时避免在诊断文本中泄露原值。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支持多批次审计汇总和可配置的失败阈值。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5. 构建浏览器演示界面，展示获准、隔离和诊断三个 Arrow 输出。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7365D"/>
          <w:sz w:val="29"/>
        </w:rPr>
        <w:t>十一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6"/>
          <w:left w:val="single" w:sz="6" w:space="0" w:color="D6DEE6"/>
          <w:bottom w:val="single" w:sz="6" w:space="0" w:color="D6DEE6"/>
          <w:right w:val="single" w:sz="6" w:space="0" w:color="D6DEE6"/>
          <w:insideH w:val="single" w:sz="6" w:space="0" w:color="D6DEE6"/>
          <w:insideV w:val="single" w:sz="6" w:space="0" w:color="D6DEE6"/>
        </w:tblBorders>
      </w:tblPr>
      <w:tblGrid>
        <w:gridCol w:w="3278"/>
        <w:gridCol w:w="3278"/>
        <w:gridCol w:w="3278"/>
      </w:tblGrid>
      <w:tr>
        <w:trPr>
          <w:tblHeader w:val="true"/>
          <w:cantSplit w:val="true"/>
        </w:trPr>
        <w:tc>
          <w:tcPr>
            <w:tcW w:type="dxa" w:w="79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520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696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通过条件</w:t>
            </w:r>
          </w:p>
        </w:tc>
      </w:tr>
      <w:tr>
        <w:trPr>
          <w:cantSplit w:val="true"/>
        </w:trP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1</w:t>
            </w:r>
          </w:p>
        </w:tc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工具链检查</w:t>
            </w:r>
          </w:p>
        </w:tc>
        <w:tc>
          <w:tcPr>
            <w:tcW w:type="dxa" w:w="66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moon fmt --check 和严格编译均通过</w:t>
            </w:r>
          </w:p>
        </w:tc>
      </w:tr>
      <w:tr>
        <w:trPr>
          <w:cantSplit w:val="true"/>
        </w:trPr>
        <w:tc>
          <w:tcPr>
            <w:tcW w:type="dxa" w:w="792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2</w:t>
            </w:r>
          </w:p>
        </w:tc>
        <w:tc>
          <w:tcPr>
            <w:tcW w:type="dxa" w:w="252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全目标测试</w:t>
            </w:r>
          </w:p>
        </w:tc>
        <w:tc>
          <w:tcPr>
            <w:tcW w:type="dxa" w:w="669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7 项测试在四后端全部通过</w:t>
            </w:r>
          </w:p>
        </w:tc>
      </w:tr>
      <w:tr>
        <w:trPr>
          <w:cantSplit w:val="true"/>
        </w:trP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3</w:t>
            </w:r>
          </w:p>
        </w:tc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发布结果</w:t>
            </w:r>
          </w:p>
        </w:tc>
        <w:tc>
          <w:tcPr>
            <w:tcW w:type="dxa" w:w="66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生成 approved、quarantine 和 findings，计数准确</w:t>
            </w:r>
          </w:p>
        </w:tc>
      </w:tr>
      <w:tr>
        <w:trPr>
          <w:cantSplit w:val="true"/>
        </w:trPr>
        <w:tc>
          <w:tcPr>
            <w:tcW w:type="dxa" w:w="792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4</w:t>
            </w:r>
          </w:p>
        </w:tc>
        <w:tc>
          <w:tcPr>
            <w:tcW w:type="dxa" w:w="252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隐私处理</w:t>
            </w:r>
          </w:p>
        </w:tc>
        <w:tc>
          <w:tcPr>
            <w:tcW w:type="dxa" w:w="669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approved 已替换敏感字段，quarantine 保持原值</w:t>
            </w:r>
          </w:p>
        </w:tc>
      </w:tr>
      <w:tr>
        <w:trPr>
          <w:cantSplit w:val="true"/>
        </w:trP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5</w:t>
            </w:r>
          </w:p>
        </w:tc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IPC 交接</w:t>
            </w:r>
          </w:p>
        </w:tc>
        <w:tc>
          <w:tcPr>
            <w:tcW w:type="dxa" w:w="66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findings 可写入并重新读取</w:t>
            </w:r>
          </w:p>
        </w:tc>
      </w:tr>
      <w:tr>
        <w:trPr>
          <w:cantSplit w:val="true"/>
        </w:trPr>
        <w:tc>
          <w:tcPr>
            <w:tcW w:type="dxa" w:w="792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6</w:t>
            </w:r>
          </w:p>
        </w:tc>
        <w:tc>
          <w:tcPr>
            <w:tcW w:type="dxa" w:w="252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差异与材料</w:t>
            </w:r>
          </w:p>
        </w:tc>
        <w:tc>
          <w:tcPr>
            <w:tcW w:type="dxa" w:w="669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无查询或 IPC 重复实现；README、申报书和代码一致</w:t>
            </w:r>
          </w:p>
        </w:tc>
      </w:tr>
    </w:tbl>
    <w:p>
      <w:pPr>
        <w:spacing w:after="0" w:before="0" w:line="20" w:lineRule="exact"/>
      </w:pPr>
      <w:r>
        <w:rPr>
          <w:rFonts w:ascii="Microsoft YaHei" w:hAnsi="Microsoft YaHei" w:eastAsia="Microsoft YaHei"/>
          <w:b w:val="0"/>
          <w:color w:val="FFFFFF"/>
          <w:sz w:val="2"/>
        </w:rPr>
        <w:t xml:space="preserve"> </w:t>
      </w:r>
    </w:p>
    <w:sectPr w:rsidR="00FC693F" w:rsidRPr="0006063C" w:rsidSect="00034616">
      <w:footerReference w:type="default" r:id="rId9"/>
      <w:pgSz w:w="11909" w:h="16834"/>
      <w:pgMar w:top="979" w:right="1037" w:bottom="950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Microsoft YaHei" w:hAnsi="Microsoft YaHei" w:eastAsia="Microsoft YaHei"/>
        <w:b w:val="0"/>
        <w:color w:val="6B7280"/>
        <w:sz w:val="17"/>
      </w:rPr>
      <w:t xml:space="preserve">MoonSentinel 项目申报书  第 </w:t>
    </w:r>
    <w:r>
      <w:rPr>
        <w:rFonts w:ascii="Microsoft YaHei" w:hAnsi="Microsoft YaHei" w:eastAsia="Microsoft YaHei"/>
        <w:b w:val="0"/>
        <w:color w:val="6B7280"/>
        <w:sz w:val="17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B72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MoonSentinel 项目申报书</dc:title>
  <dc:subject>MoonBit 开源大赛九月黑客松项目申报</dc:subject>
  <dc:creator>苏天伟</dc:creator>
  <cp:keywords>MoonSentinel MoonBit Arrow 数据质量 隐私 发布门禁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