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 w:after="100"/>
        <w:jc w:val="center"/>
      </w:pPr>
      <w:r>
        <w:rPr>
          <w:rFonts w:ascii="Microsoft YaHei" w:hAnsi="Microsoft YaHei" w:eastAsia="Microsoft YaHei"/>
          <w:b/>
          <w:color w:val="17365D"/>
          <w:sz w:val="44"/>
        </w:rPr>
        <w:t>MoonSentinel 项目申报书</w:t>
      </w:r>
    </w:p>
    <w:p>
      <w:pPr>
        <w:spacing w:after="300"/>
        <w:jc w:val="center"/>
      </w:pPr>
      <w:r>
        <w:rPr>
          <w:rFonts w:ascii="Microsoft YaHei" w:hAnsi="Microsoft YaHei" w:eastAsia="Microsoft YaHei"/>
          <w:b/>
          <w:color w:val="1F1F1F"/>
          <w:sz w:val="25"/>
        </w:rPr>
        <w:t>面向 Arrow 数据的质量与隐私发布门禁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917"/>
        <w:gridCol w:w="4917"/>
      </w:tblGrid>
      <w:tr>
        <w:tc>
          <w:tcPr>
            <w:tcW w:type="dxa" w:w="201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项目名称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MoonSentinel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项目负责人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苏天纬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代码仓库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https://github.com/STW135-2026/moonsentinel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开源许可证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Apache-2.0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底层依赖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shunge/arrow@0.1.0  MIT</w:t>
            </w:r>
          </w:p>
        </w:tc>
      </w:tr>
    </w:tbl>
    <w:p>
      <w:pPr>
        <w:spacing w:before="240" w:after="140" w:line="317" w:lineRule="auto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当前成果  </w:t>
      </w:r>
      <w:r>
        <w:rPr>
          <w:rFonts w:ascii="Microsoft YaHei" w:hAnsi="Microsoft YaHei" w:eastAsia="Microsoft YaHei"/>
          <w:b w:val="0"/>
          <w:color w:val="1F1F1F"/>
          <w:sz w:val="21"/>
        </w:rPr>
        <w:t>项目已经完成从通用查询引擎到 Arrow 数据发布门禁的实质性重构。当前生产代码不包含过滤、排序、分组、连接或 IPC 实现；已完成质量规则、错误与警告、行隔离、诊断上限、放行前脱敏和 Arrow 原生输出，并通过四个目标后端测试。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一 项目简介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MoonSentinel 是使用 MoonBit 编写的 Arrow 数据发布门禁。系统接收一个 Arrow RecordBatch 和一组声明式规则，逐行检查质量问题，区分阻断错误与非阻断警告，再生成获准数据、隔离数据和结构化诊断三个 RecordBatch。获准数据还可在交付前替换敏感 UTF-8 字段。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该项目解决的是数据已经能够交换，但尚不能安全发布的问题。它不提供过滤、排序、分组或连接等通用查询能力，也不实现 Arrow IPC、JSON Schema、Schema 版本治理或迁移计划。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二 问题和实际价值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真实数据批次可能包含重复标识、越界年龄、无效枚举、颠倒的上下界、缺失联系方式或未脱敏字段。若每个应用分别编写临时检查逻辑，规则、错误格式和处置方式会逐渐不一致。MoonSentinel 把这一步收敛为可测试的发布门禁。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1. 数据产品发布。导出数据通过规则后才能进入报表、下载文件或下游 API。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2. 浏览器与边缘应用。MoonBit/Wasm 在本地检查 Arrow 数据，错误行不进入后续计算。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3. AI 数据准备。数据进入模型或检索流程前先隔离错误行，并替换敏感文本字段。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4. 数据管道排错。诊断结果仍是 Arrow RecordBatch，可写入 IPC、存档或展示。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三 已完成成果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65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64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规则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必需列、非空、Int32/Int64 范围、非空字符串、允许列表、唯一性、跨字段顺序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单元测试</w:t>
            </w:r>
          </w:p>
        </w:tc>
      </w:tr>
      <w:tr>
        <w:trPr>
          <w:cantSplit w:val="true"/>
        </w:trPr>
        <w:tc>
          <w:tcPr>
            <w:tcW w:type="dxa" w:w="165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严重度</w:t>
            </w:r>
          </w:p>
        </w:tc>
        <w:tc>
          <w:tcPr>
            <w:tcW w:type="dxa" w:w="640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Error 隔离行；Warning 只记录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处置测试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数据集错误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缺失列和类型不符阻断整个批次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Schema 测试</w:t>
            </w:r>
          </w:p>
        </w:tc>
      </w:tr>
      <w:tr>
        <w:trPr>
          <w:cantSplit w:val="true"/>
        </w:trPr>
        <w:tc>
          <w:tcPr>
            <w:tcW w:type="dxa" w:w="165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诊断上限</w:t>
            </w:r>
          </w:p>
        </w:tc>
        <w:tc>
          <w:tcPr>
            <w:tcW w:type="dxa" w:w="640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明细可截断，错误和警告总数保持准确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截断测试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发布结果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approved、quarantine、findings 三个 RecordBatch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端到端测试</w:t>
            </w:r>
          </w:p>
        </w:tc>
      </w:tr>
      <w:tr>
        <w:trPr>
          <w:cantSplit w:val="true"/>
        </w:trPr>
        <w:tc>
          <w:tcPr>
            <w:tcW w:type="dxa" w:w="165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隐私处理</w:t>
            </w:r>
          </w:p>
        </w:tc>
        <w:tc>
          <w:tcPr>
            <w:tcW w:type="dxa" w:w="640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只替换 approved 的 UTF-8 敏感列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脱敏测试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Arrow 交接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findings 写入 IPC Stream 并重新读取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回环测试</w:t>
            </w:r>
          </w:p>
        </w:tc>
      </w:tr>
      <w:tr>
        <w:trPr>
          <w:cantSplit w:val="true"/>
        </w:trPr>
        <w:tc>
          <w:tcPr>
            <w:tcW w:type="dxa" w:w="165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后端</w:t>
            </w:r>
          </w:p>
        </w:tc>
        <w:tc>
          <w:tcPr>
            <w:tcW w:type="dxa" w:w="640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Native、JavaScript、Wasm、Wasm-GC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7 项测试全部通过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四 核心流程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1. 校验 RecordBatch 的字段数量、列长度、类型和 nullability。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2. 校验合同名称、规则编号、范围端点、允许列表和编号唯一性。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3. 按规则声明顺序和源行顺序检查数据，累计错误与警告。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4. 错误对应的行进入 quarantine，没有错误的行进入 approved。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5. 只对 approved 执行配置的字段替换脱敏。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6. 把诊断转换为包含六个字段的 Arrow RecordBatch。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findings 的字段为 rule_id、severity、row、column、code 和 message。row 为空表示缺失列或类型不符等数据集级问题。诊断文本只描述规则和字段，不包含原始敏感值。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五 示例结果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仓库演示构造 4 行客户导出数据，并检查客户编号唯一性、年龄范围、国家允许列表、订单上下界和邮件完整性。运行结果如下。</w:t>
      </w:r>
    </w:p>
    <w:p>
      <w:pPr>
        <w:spacing w:before="60" w:after="120" w:line="259" w:lineRule="auto"/>
        <w:ind w:left="403"/>
        <w:shd w:fill="F2F4F7"/>
      </w:pPr>
      <w:r>
        <w:rPr>
          <w:rFonts w:ascii="Consolas" w:hAnsi="Consolas" w:eastAsia="Consolas"/>
          <w:b w:val="0"/>
          <w:color w:val="202124"/>
          <w:sz w:val="17"/>
        </w:rPr>
        <w:t>customer-export-v1: FAIL; rows=4; accepted=1; quarantined=3;</w:t>
        <w:br/>
      </w:r>
      <w:r>
        <w:rPr>
          <w:rFonts w:ascii="Consolas" w:hAnsi="Consolas" w:eastAsia="Consolas"/>
          <w:b w:val="0"/>
          <w:color w:val="202124"/>
          <w:sz w:val="17"/>
        </w:rPr>
        <w:t>errors=7; warnings=1; findings_shown=8; truncated=false</w:t>
        <w:br/>
      </w:r>
      <w:r>
        <w:rPr>
          <w:rFonts w:ascii="Consolas" w:hAnsi="Consolas" w:eastAsia="Consolas"/>
          <w:b w:val="0"/>
          <w:color w:val="202124"/>
          <w:sz w:val="17"/>
        </w:rPr>
        <w:t>approved rows: 1</w:t>
        <w:br/>
      </w:r>
      <w:r>
        <w:rPr>
          <w:rFonts w:ascii="Consolas" w:hAnsi="Consolas" w:eastAsia="Consolas"/>
          <w:b w:val="0"/>
          <w:color w:val="202124"/>
          <w:sz w:val="17"/>
        </w:rPr>
        <w:t>quarantined rows: 3</w:t>
        <w:br/>
      </w:r>
      <w:r>
        <w:rPr>
          <w:rFonts w:ascii="Consolas" w:hAnsi="Consolas" w:eastAsia="Consolas"/>
          <w:b w:val="0"/>
          <w:color w:val="202124"/>
          <w:sz w:val="17"/>
        </w:rPr>
        <w:t>diagnostic rows: 8</w:t>
        <w:br/>
      </w:r>
      <w:r>
        <w:rPr>
          <w:rFonts w:ascii="Consolas" w:hAnsi="Consolas" w:eastAsia="Consolas"/>
          <w:b w:val="0"/>
          <w:color w:val="202124"/>
          <w:sz w:val="17"/>
        </w:rPr>
        <w:t>approved email: [REDACTED]</w:t>
        <w:br/>
      </w:r>
    </w:p>
    <w:p>
      <w:pPr>
        <w:spacing w:before="60" w:after="120" w:line="259" w:lineRule="auto"/>
        <w:ind w:left="403"/>
        <w:shd w:fill="F2F4F7"/>
      </w:pPr>
      <w:r>
        <w:rPr>
          <w:rFonts w:ascii="Consolas" w:hAnsi="Consolas" w:eastAsia="Consolas"/>
          <w:b w:val="0"/>
          <w:color w:val="202124"/>
          <w:sz w:val="17"/>
        </w:rPr>
        <w:t>moon update</w:t>
        <w:br/>
      </w:r>
      <w:r>
        <w:rPr>
          <w:rFonts w:ascii="Consolas" w:hAnsi="Consolas" w:eastAsia="Consolas"/>
          <w:b w:val="0"/>
          <w:color w:val="202124"/>
          <w:sz w:val="17"/>
        </w:rPr>
        <w:t>moon fmt --check</w:t>
        <w:br/>
      </w:r>
      <w:r>
        <w:rPr>
          <w:rFonts w:ascii="Consolas" w:hAnsi="Consolas" w:eastAsia="Consolas"/>
          <w:b w:val="0"/>
          <w:color w:val="202124"/>
          <w:sz w:val="17"/>
        </w:rPr>
        <w:t>moon check --target all --deny-warn</w:t>
        <w:br/>
      </w:r>
      <w:r>
        <w:rPr>
          <w:rFonts w:ascii="Consolas" w:hAnsi="Consolas" w:eastAsia="Consolas"/>
          <w:b w:val="0"/>
          <w:color w:val="202124"/>
          <w:sz w:val="17"/>
        </w:rPr>
        <w:t>moon test --target all --deny-warn</w:t>
        <w:br/>
      </w:r>
      <w:r>
        <w:rPr>
          <w:rFonts w:ascii="Consolas" w:hAnsi="Consolas" w:eastAsia="Consolas"/>
          <w:b w:val="0"/>
          <w:color w:val="202124"/>
          <w:sz w:val="17"/>
        </w:rPr>
        <w:t>moon run cmd/main --target native --deny-warn</w:t>
        <w:br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六 差异化核查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对比项目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已有职责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MoonSentinel 的职责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shunge/arrow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Arrow 数据结构、IPC 和互操作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使用 RecordBatch；执行判定、隔离、诊断和脱敏</w:t>
            </w:r>
          </w:p>
        </w:tc>
      </w:tr>
      <w:tr>
        <w:trPr>
          <w:cantSplit w:val="true"/>
        </w:trPr>
        <w:tc>
          <w:tcPr>
            <w:tcW w:type="dxa" w:w="208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MoonFrame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DataFrame、表达式、过滤、排序、分组、连接和惰性查询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不做查询；处理质量和发布处置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moon-data-contract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Schema 治理、版本演进、兼容性和迁移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不管理版本；检查实际行并拆分批次</w:t>
            </w:r>
          </w:p>
        </w:tc>
      </w:tr>
      <w:tr>
        <w:trPr>
          <w:cantSplit w:val="true"/>
        </w:trPr>
        <w:tc>
          <w:tcPr>
            <w:tcW w:type="dxa" w:w="208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moonbit-jsonschema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按 JSON Schema 验证 JSON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不处理 JSON Schema；面向 Arrow 列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MoonJQ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JSON 查询语言和解释执行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没有查询语言；输出 Arrow 诊断</w:t>
            </w:r>
          </w:p>
        </w:tc>
      </w:tr>
    </w:tbl>
    <w:p>
      <w:pPr>
        <w:spacing w:after="20"/>
      </w:pP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初版 MoonQuery 曾实现过滤、排序、分组、连接和逻辑计划。核查 MoonFrame 后确认该方向重合度过高，因此当前代码树已经移除整个查询包，转为运行时发布门禁。Git 历史完整保留这次调整。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公开核查来源包括 github.com/ihb2032/MoonFrame、mooncakes.io/docs/shunge/arrow@0.1.0、mooncakes.io/docs/lyjttio/moon-data-contract@0.2.1、mooncakes.io/docs/Xu107-hhh/moonbit-jsonschema 和 github.com/moonbit-community/moonbit-jq。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七 创新和应用特点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1. 获准数据、隔离数据和诊断数据使用同一种 Arrow 交换格式。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2. 质量判定与行处置在一次调用中完成，调用方无需根据错误列表再次筛行。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3. 诊断明细有明确上限，但统计和隔离结果不丢失。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4. 脱敏只作用于获准数据，防止敏感数据进入下游，同时保留隔离数据的排错价值。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5. 数据集级错误和行级错误使用同一报告模型，可统一存档和展示。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八 原创和依赖边界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本仓库实现合同校验、规则执行、严重度语义、诊断上限、行隔离、脱敏策略、Arrow 诊断输出、测试和演示。Arrow Schema、Column、RecordBatch 及 IPC 编解码来自公开依赖 shunge/arrow，不作为本项目原创成果申报。</w:t>
      </w:r>
    </w:p>
    <w:p>
      <w:pPr>
        <w:spacing w:after="100" w:line="317" w:lineRule="auto"/>
        <w:ind w:firstLine="420"/>
      </w:pPr>
      <w:r>
        <w:rPr>
          <w:rFonts w:ascii="Microsoft YaHei" w:hAnsi="Microsoft YaHei" w:eastAsia="Microsoft YaHei"/>
          <w:b w:val="0"/>
          <w:color w:val="1F1F1F"/>
          <w:sz w:val="21"/>
        </w:rPr>
        <w:t>当前生产代码仅位于 src/gate，没有 DataFrame、查询计划、IPC、FlatBuffers、位图、JSON Schema 或 Schema 迁移实现。旧版探索代码只存在于 Git 历史，不属于当前交付物。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九 当前限制</w:t>
      </w:r>
    </w:p>
    <w:p>
      <w:pPr>
        <w:pStyle w:val="ListBullet"/>
        <w:spacing w:after="60" w:line="293" w:lineRule="auto"/>
        <w:ind w:left="389" w:hanging="216"/>
      </w:pPr>
      <w:r>
        <w:rPr>
          <w:rFonts w:ascii="Microsoft YaHei" w:hAnsi="Microsoft YaHei" w:eastAsia="Microsoft YaHei"/>
          <w:b w:val="0"/>
          <w:color w:val="1F1F1F"/>
          <w:sz w:val="21"/>
        </w:rPr>
        <w:t>规则面向单个 RecordBatch，尚未提供跨批次唯一性和时间窗口状态。</w:t>
      </w:r>
    </w:p>
    <w:p>
      <w:pPr>
        <w:pStyle w:val="ListBullet"/>
        <w:spacing w:after="60" w:line="293" w:lineRule="auto"/>
        <w:ind w:left="389" w:hanging="216"/>
      </w:pPr>
      <w:r>
        <w:rPr>
          <w:rFonts w:ascii="Microsoft YaHei" w:hAnsi="Microsoft YaHei" w:eastAsia="Microsoft YaHei"/>
          <w:b w:val="0"/>
          <w:color w:val="1F1F1F"/>
          <w:sz w:val="21"/>
        </w:rPr>
        <w:t>Utf8Unique 使用确定性双循环，适合 MVP 和中小批次，尚未进行哈希优化。</w:t>
      </w:r>
    </w:p>
    <w:p>
      <w:pPr>
        <w:pStyle w:val="ListBullet"/>
        <w:spacing w:after="60" w:line="293" w:lineRule="auto"/>
        <w:ind w:left="389" w:hanging="216"/>
      </w:pPr>
      <w:r>
        <w:rPr>
          <w:rFonts w:ascii="Microsoft YaHei" w:hAnsi="Microsoft YaHei" w:eastAsia="Microsoft YaHei"/>
          <w:b w:val="0"/>
          <w:color w:val="1F1F1F"/>
          <w:sz w:val="21"/>
        </w:rPr>
        <w:t>字符串规则尚未提供正则表达式和长度范围。</w:t>
      </w:r>
    </w:p>
    <w:p>
      <w:pPr>
        <w:pStyle w:val="ListBullet"/>
        <w:spacing w:after="60" w:line="293" w:lineRule="auto"/>
        <w:ind w:left="389" w:hanging="216"/>
      </w:pPr>
      <w:r>
        <w:rPr>
          <w:rFonts w:ascii="Microsoft YaHei" w:hAnsi="Microsoft YaHei" w:eastAsia="Microsoft YaHei"/>
          <w:b w:val="0"/>
          <w:color w:val="1F1F1F"/>
          <w:sz w:val="21"/>
        </w:rPr>
        <w:t>脱敏目前是固定字符串替换，尚未提供哈希、部分保留或外部密钥服务。</w:t>
      </w:r>
    </w:p>
    <w:p>
      <w:pPr>
        <w:pStyle w:val="ListBullet"/>
        <w:spacing w:after="60" w:line="293" w:lineRule="auto"/>
        <w:ind w:left="389" w:hanging="216"/>
      </w:pPr>
      <w:r>
        <w:rPr>
          <w:rFonts w:ascii="Microsoft YaHei" w:hAnsi="Microsoft YaHei" w:eastAsia="Microsoft YaHei"/>
          <w:b w:val="0"/>
          <w:color w:val="1F1F1F"/>
          <w:sz w:val="21"/>
        </w:rPr>
        <w:t>输入输出格式由 shunge/arrow@0.1.0 的类型和 IPC 支持范围决定。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十 后续路线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1. 增加字符串长度、模式、数值集合和条件规则。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2. 为唯一性规则增加确定性哈希索引，并建立不同批次规模的基准。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3. 增加电子邮件和手机号等可组合脱敏策略，同时避免在诊断文本中泄露原值。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4. 支持多批次审计汇总和可配置的失败阈值。</w:t>
      </w:r>
    </w:p>
    <w:p>
      <w:pPr>
        <w:spacing w:after="80" w:line="298" w:lineRule="auto"/>
        <w:ind w:left="432" w:hanging="288"/>
      </w:pPr>
      <w:r>
        <w:rPr>
          <w:rFonts w:ascii="Microsoft YaHei" w:hAnsi="Microsoft YaHei" w:eastAsia="Microsoft YaHei"/>
          <w:b w:val="0"/>
          <w:color w:val="1F1F1F"/>
          <w:sz w:val="21"/>
        </w:rPr>
        <w:t>5. 构建浏览器演示界面，展示获准、隔离和诊断三个 Arrow 输出。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7365D"/>
          <w:sz w:val="29"/>
        </w:rPr>
        <w:t>十一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79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69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工具链检查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moon fmt --check 和严格编译均通过</w:t>
            </w:r>
          </w:p>
        </w:tc>
      </w:tr>
      <w:tr>
        <w:trPr>
          <w:cantSplit w:val="true"/>
        </w:trP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全目标测试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7 项测试在四后端全部通过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发布结果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生成 approved、quarantine 和 findings，计数准确</w:t>
            </w:r>
          </w:p>
        </w:tc>
      </w:tr>
      <w:tr>
        <w:trPr>
          <w:cantSplit w:val="true"/>
        </w:trP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隐私处理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approved 已替换敏感字段，quarantine 保持原值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IPC 交接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findings 可写入并重新读取</w:t>
            </w:r>
          </w:p>
        </w:tc>
      </w:tr>
      <w:tr>
        <w:trPr>
          <w:cantSplit w:val="true"/>
        </w:trP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6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差异与材料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无查询或 IPC 重复实现；README、申报书和代码一致</w:t>
            </w:r>
          </w:p>
        </w:tc>
      </w:tr>
    </w:tbl>
    <w:p>
      <w:pPr>
        <w:spacing w:after="0" w:before="0" w:line="20" w:lineRule="exact"/>
      </w:pPr>
      <w:r>
        <w:rPr>
          <w:rFonts w:ascii="Microsoft YaHei" w:hAnsi="Microsoft YaHei" w:eastAsia="Microsoft YaHei"/>
          <w:b w:val="0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1909" w:h="16834"/>
      <w:pgMar w:top="979" w:right="1037" w:bottom="95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 xml:space="preserve">MoonSentinel 项目申报书  第 </w:t>
    </w:r>
    <w:r>
      <w:rPr>
        <w:rFonts w:ascii="Microsoft YaHei" w:hAnsi="Microsoft YaHei" w:eastAsia="Microsoft YaHei"/>
        <w:b w:val="0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MoonSentinel 项目申报书</dc:title>
  <dc:subject>MoonBit 开源大赛九月黑客松项目申报</dc:subject>
  <dc:creator>苏天纬</dc:creator>
  <cp:keywords>MoonSentinel MoonBit Arrow 数据质量 隐私 发布门禁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