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0" w:after="100"/>
        <w:jc w:val="center"/>
      </w:pPr>
      <w:r>
        <w:rPr>
          <w:rFonts w:ascii="Microsoft YaHei" w:hAnsi="Microsoft YaHei" w:eastAsia="Microsoft YaHei"/>
          <w:b/>
          <w:color w:val="000000"/>
          <w:sz w:val="44"/>
        </w:rPr>
        <w:t>MoonSentinel 项目申报书</w:t>
      </w:r>
    </w:p>
    <w:p>
      <w:pPr>
        <w:spacing w:after="300"/>
        <w:jc w:val="center"/>
      </w:pPr>
      <w:r>
        <w:rPr>
          <w:rFonts w:ascii="Microsoft YaHei" w:hAnsi="Microsoft YaHei" w:eastAsia="Microsoft YaHei"/>
          <w:b/>
          <w:color w:val="1F1F1F"/>
          <w:sz w:val="25"/>
        </w:rPr>
        <w:t>用途绑定的 Arrow 隐私发布门禁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17"/>
        <w:gridCol w:w="4917"/>
      </w:tblGrid>
      <w:tr>
        <w:tc>
          <w:tcPr>
            <w:tcW w:type="dxa" w:w="2016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1F1F"/>
                <w:sz w:val="19"/>
              </w:rPr>
              <w:t>项目名称</w:t>
            </w:r>
          </w:p>
        </w:tc>
        <w:tc>
          <w:tcPr>
            <w:tcW w:type="dxa" w:w="79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MoonSentinel</w:t>
            </w:r>
          </w:p>
        </w:tc>
      </w:tr>
      <w:tr>
        <w:tc>
          <w:tcPr>
            <w:tcW w:type="dxa" w:w="2016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1F1F"/>
                <w:sz w:val="19"/>
              </w:rPr>
              <w:t>项目负责人</w:t>
            </w:r>
          </w:p>
        </w:tc>
        <w:tc>
          <w:tcPr>
            <w:tcW w:type="dxa" w:w="79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苏天纬</w:t>
            </w:r>
          </w:p>
        </w:tc>
      </w:tr>
      <w:tr>
        <w:tc>
          <w:tcPr>
            <w:tcW w:type="dxa" w:w="2016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1F1F"/>
                <w:sz w:val="19"/>
              </w:rPr>
              <w:t>代码仓库</w:t>
            </w:r>
          </w:p>
        </w:tc>
        <w:tc>
          <w:tcPr>
            <w:tcW w:type="dxa" w:w="79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https://github.com/STW135-2026/moonsentinel</w:t>
            </w:r>
          </w:p>
        </w:tc>
      </w:tr>
      <w:tr>
        <w:tc>
          <w:tcPr>
            <w:tcW w:type="dxa" w:w="2016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1F1F"/>
                <w:sz w:val="19"/>
              </w:rPr>
              <w:t>开源许可证</w:t>
            </w:r>
          </w:p>
        </w:tc>
        <w:tc>
          <w:tcPr>
            <w:tcW w:type="dxa" w:w="79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Apache-2.0</w:t>
            </w:r>
          </w:p>
        </w:tc>
      </w:tr>
      <w:tr>
        <w:tc>
          <w:tcPr>
            <w:tcW w:type="dxa" w:w="2016"/>
            <w:shd w:fill="E8EEF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F1F1F"/>
                <w:sz w:val="19"/>
              </w:rPr>
              <w:t>底层依赖</w:t>
            </w:r>
          </w:p>
        </w:tc>
        <w:tc>
          <w:tcPr>
            <w:tcW w:type="dxa" w:w="79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shunge/arrow@0.1.0  MIT</w:t>
            </w:r>
          </w:p>
        </w:tc>
      </w:tr>
    </w:tbl>
    <w:p>
      <w:pPr>
        <w:spacing w:before="240" w:after="140" w:line="317" w:lineRule="auto"/>
      </w:pPr>
      <w:r>
        <w:rPr>
          <w:rFonts w:ascii="Microsoft YaHei" w:hAnsi="Microsoft YaHei" w:eastAsia="Microsoft YaHei"/>
          <w:b/>
          <w:color w:val="000000"/>
          <w:sz w:val="21"/>
        </w:rPr>
        <w:t xml:space="preserve">本次修订结论  </w:t>
      </w:r>
      <w:r>
        <w:rPr>
          <w:rFonts w:ascii="Microsoft YaHei" w:hAnsi="Microsoft YaHei" w:eastAsia="Microsoft YaHei"/>
          <w:b w:val="0"/>
          <w:color w:val="1F1F1F"/>
          <w:sz w:val="21"/>
        </w:rPr>
        <w:t>MoonSentinel 已从通用数据质量规则项目重构为用途绑定的隐私发布授权器。当前生产接口不再提供 Required、Unique、Range、Enum、Profile、Contract Diff 等 MoonVerity 已覆盖的能力，而是围绕用途、接收方、逐行同意、最小化发布和 k 匿名完成可执行决策。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000000"/>
          <w:sz w:val="29"/>
        </w:rPr>
        <w:t>一 项目定位</w:t>
      </w: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MoonSentinel 是使用 MoonBit 编写的 Arrow 隐私发布门禁。调用方提交 Arrow RecordBatch、PrivacyPolicy 和 ReleaseRequest，系统判断这批数据在指定用途和接收方条件下能否发布，并同时生成获准数据、隔离数据、隐私发现和发布清单四个 Arrow RecordBatch。</w:t>
      </w: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本项目回答的是“这批数据能否因这个用途交给这个接收方”这一授权问题，而不是“字段格式是否正确”这一数据质量问题。它不提供通用合同校验、质量评分、数据画像、合同差异或 CSV/JSONL 验证命令。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000000"/>
          <w:sz w:val="29"/>
        </w:rPr>
        <w:t>二 实际问题和目标用户</w:t>
      </w: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研究数据、风控样本、合作方数据集和 AI 训练数据经常已经满足格式要求，却仍可能因为用途越界、接收方未获授权、用户未同意、准标识符群体过小或多余字段外泄而不能发布。MoonSentinel 把这些隐私条件变成可测试、可审计的代码路径。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1. 数据负责人在向合作方交付数据前，验证用途、接收方和最小群体规模。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2. 研究与风控团队只获得与申请用途相关的字段和已同意的记录。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3. 浏览器或边缘应用通过 MoonBit/Wasm 在本地执行同一套发布策略。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4. 审计人员通过 Arrow 发布清单追踪申请编号、策略编号、放行量和隔离量。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000000"/>
          <w:sz w:val="29"/>
        </w:rPr>
        <w:t>三 已完成的 MVP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78"/>
        <w:gridCol w:w="3278"/>
        <w:gridCol w:w="3278"/>
      </w:tblGrid>
      <w:tr>
        <w:trPr>
          <w:tblHeader w:val="true"/>
          <w:cantSplit w:val="true"/>
        </w:trPr>
        <w:tc>
          <w:tcPr>
            <w:tcW w:type="dxa" w:w="1656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6408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当前实现</w:t>
            </w:r>
          </w:p>
        </w:tc>
        <w:tc>
          <w:tcPr>
            <w:tcW w:type="dxa" w:w="1944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验证</w:t>
            </w:r>
          </w:p>
        </w:tc>
      </w:tr>
      <w:tr>
        <w:trPr>
          <w:cantSplit w:val="true"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用途约束</w:t>
            </w:r>
          </w:p>
        </w:tc>
        <w:tc>
          <w:tcPr>
            <w:tcW w:type="dxa" w:w="64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策略列出允许用途，越界用途整批拒绝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自动化测试</w:t>
            </w:r>
          </w:p>
        </w:tc>
      </w:tr>
      <w:tr>
        <w:trPr>
          <w:cantSplit w:val="true"/>
        </w:trPr>
        <w:tc>
          <w:tcPr>
            <w:tcW w:type="dxa" w:w="1656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接收方约束</w:t>
            </w:r>
          </w:p>
        </w:tc>
        <w:tc>
          <w:tcPr>
            <w:tcW w:type="dxa" w:w="6408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Internal、Partner、Public 分级授权</w:t>
            </w:r>
          </w:p>
        </w:tc>
        <w:tc>
          <w:tcPr>
            <w:tcW w:type="dxa" w:w="1944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自动化测试</w:t>
            </w:r>
          </w:p>
        </w:tc>
      </w:tr>
      <w:tr>
        <w:trPr>
          <w:cantSplit w:val="true"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逐行同意</w:t>
            </w:r>
          </w:p>
        </w:tc>
        <w:tc>
          <w:tcPr>
            <w:tcW w:type="dxa" w:w="64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按同意列筛选候选记录，未同意行进入隔离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自动化测试</w:t>
            </w:r>
          </w:p>
        </w:tc>
      </w:tr>
      <w:tr>
        <w:trPr>
          <w:cantSplit w:val="true"/>
        </w:trPr>
        <w:tc>
          <w:tcPr>
            <w:tcW w:type="dxa" w:w="1656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k 匿名</w:t>
            </w:r>
          </w:p>
        </w:tc>
        <w:tc>
          <w:tcPr>
            <w:tcW w:type="dxa" w:w="6408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只在已同意候选行中按准标识符组合计算等价类</w:t>
            </w:r>
          </w:p>
        </w:tc>
        <w:tc>
          <w:tcPr>
            <w:tcW w:type="dxa" w:w="1944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自动化测试</w:t>
            </w:r>
          </w:p>
        </w:tc>
      </w:tr>
      <w:tr>
        <w:trPr>
          <w:cantSplit w:val="true"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最小化发布</w:t>
            </w:r>
          </w:p>
        </w:tc>
        <w:tc>
          <w:tcPr>
            <w:tcW w:type="dxa" w:w="64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仅发布策略列明字段，未列字段默认不输出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自动化测试</w:t>
            </w:r>
          </w:p>
        </w:tc>
      </w:tr>
      <w:tr>
        <w:trPr>
          <w:cantSplit w:val="true"/>
        </w:trPr>
        <w:tc>
          <w:tcPr>
            <w:tcW w:type="dxa" w:w="1656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敏感处理</w:t>
            </w:r>
          </w:p>
        </w:tc>
        <w:tc>
          <w:tcPr>
            <w:tcW w:type="dxa" w:w="6408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直接标识符和敏感字段必须替换或删除，禁止原值 Keep</w:t>
            </w:r>
          </w:p>
        </w:tc>
        <w:tc>
          <w:tcPr>
            <w:tcW w:type="dxa" w:w="1944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策略校验</w:t>
            </w:r>
          </w:p>
        </w:tc>
      </w:tr>
      <w:tr>
        <w:trPr>
          <w:cantSplit w:val="true"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Arrow 结果</w:t>
            </w:r>
          </w:p>
        </w:tc>
        <w:tc>
          <w:tcPr>
            <w:tcW w:type="dxa" w:w="640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approved、quarantine、findings、manifest 四类 RecordBatch</w:t>
            </w:r>
          </w:p>
        </w:tc>
        <w:tc>
          <w:tcPr>
            <w:tcW w:type="dxa" w:w="19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IPC 回环</w:t>
            </w:r>
          </w:p>
        </w:tc>
      </w:tr>
      <w:tr>
        <w:trPr>
          <w:cantSplit w:val="true"/>
        </w:trPr>
        <w:tc>
          <w:tcPr>
            <w:tcW w:type="dxa" w:w="1656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跨目标</w:t>
            </w:r>
          </w:p>
        </w:tc>
        <w:tc>
          <w:tcPr>
            <w:tcW w:type="dxa" w:w="6408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Native、JavaScript、Wasm、Wasm-GC</w:t>
            </w:r>
          </w:p>
        </w:tc>
        <w:tc>
          <w:tcPr>
            <w:tcW w:type="dxa" w:w="1944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8 项测试全通过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000000"/>
          <w:sz w:val="29"/>
        </w:rPr>
        <w:t>四 发布决策流程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1. 校验 PrivacyPolicy 和 ReleaseRequest 是否完整、互相匹配。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2. 检查用途和接收方是否在策略允许范围内；不允许则整批拒绝。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3. 依据同意列筛出候选行，未同意或缺少同意的数据进入隔离。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4. 在候选行内按所有准标识符组合计算等价类，低于 k 的记录不得发布。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5. 对获准行执行 Keep、ReplaceUtf8 或 Drop，并默认删除未声明字段。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6. 输出获准、隔离、隐私发现和单行发布清单，供下游与审计共同使用。</w:t>
      </w: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策略采用 fail-closed 设计：直接标识符或敏感字段不能以 Keep 发布；准标识符必须保留并参与 k 匿名；缺失关键列、字段类型错误或请求与策略不匹配均阻断发布。发现明细可以截断，但拒绝计数保持准确。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000000"/>
          <w:sz w:val="29"/>
        </w:rPr>
        <w:t>五 可运行演示</w:t>
      </w: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仓库演示申请把客户风控样本交给合作方，用途为 fraud_research。六行输入中四行满足同意与 k=2，两个不满足的记录被隔离，邮件字段替换为 [EMAIL]，未申报字段不会进入获准批次。</w:t>
      </w:r>
    </w:p>
    <w:p>
      <w:pPr>
        <w:keepLines/>
        <w:spacing w:before="60" w:after="120" w:line="259" w:lineRule="auto"/>
        <w:ind w:left="403"/>
        <w:shd w:fill="F2F4F7"/>
      </w:pPr>
      <w:r>
        <w:rPr>
          <w:rFonts w:ascii="Consolas" w:hAnsi="Consolas" w:eastAsia="Consolas"/>
          <w:b w:val="0"/>
          <w:color w:val="202124"/>
          <w:sz w:val="17"/>
        </w:rPr>
        <w:t>fraud-research-v1/req-2026-001: partial; purpose=fraud_research;</w:t>
        <w:br/>
      </w:r>
      <w:r>
        <w:rPr>
          <w:rFonts w:ascii="Consolas" w:hAnsi="Consolas" w:eastAsia="Consolas"/>
          <w:b w:val="0"/>
          <w:color w:val="202124"/>
          <w:sz w:val="17"/>
        </w:rPr>
        <w:t>recipient=partner; rows=6; released=4; quarantined=2; denials=2; k=2</w:t>
        <w:br/>
      </w:r>
      <w:r>
        <w:rPr>
          <w:rFonts w:ascii="Consolas" w:hAnsi="Consolas" w:eastAsia="Consolas"/>
          <w:b w:val="0"/>
          <w:color w:val="202124"/>
          <w:sz w:val="17"/>
        </w:rPr>
        <w:t>released columns: email, country, age_band, risk_score</w:t>
        <w:br/>
      </w:r>
      <w:r>
        <w:rPr>
          <w:rFonts w:ascii="Consolas" w:hAnsi="Consolas" w:eastAsia="Consolas"/>
          <w:b w:val="0"/>
          <w:color w:val="202124"/>
          <w:sz w:val="17"/>
        </w:rPr>
        <w:t>approved rows: 4    quarantined rows: 2    privacy findings: 2</w:t>
        <w:br/>
      </w:r>
      <w:r>
        <w:rPr>
          <w:rFonts w:ascii="Consolas" w:hAnsi="Consolas" w:eastAsia="Consolas"/>
          <w:b w:val="0"/>
          <w:color w:val="202124"/>
          <w:sz w:val="17"/>
        </w:rPr>
        <w:t>release manifest rows: 1    masked email: [EMAIL]</w:t>
        <w:br/>
      </w:r>
      <w:r>
        <w:rPr>
          <w:rFonts w:ascii="Consolas" w:hAnsi="Consolas" w:eastAsia="Consolas"/>
          <w:b w:val="0"/>
          <w:color w:val="202124"/>
          <w:sz w:val="17"/>
        </w:rPr>
        <w:t>Arrow IPC handoff: 1136 bytes, 4 released rows</w:t>
        <w:br/>
      </w:r>
    </w:p>
    <w:p>
      <w:pPr>
        <w:keepLines/>
        <w:spacing w:before="60" w:after="120" w:line="259" w:lineRule="auto"/>
        <w:ind w:left="403"/>
        <w:shd w:fill="F2F4F7"/>
      </w:pPr>
      <w:r>
        <w:rPr>
          <w:rFonts w:ascii="Consolas" w:hAnsi="Consolas" w:eastAsia="Consolas"/>
          <w:b w:val="0"/>
          <w:color w:val="202124"/>
          <w:sz w:val="17"/>
        </w:rPr>
        <w:t>moon fmt --check</w:t>
        <w:br/>
      </w:r>
      <w:r>
        <w:rPr>
          <w:rFonts w:ascii="Consolas" w:hAnsi="Consolas" w:eastAsia="Consolas"/>
          <w:b w:val="0"/>
          <w:color w:val="202124"/>
          <w:sz w:val="17"/>
        </w:rPr>
        <w:t>moon check --target all --deny-warn</w:t>
        <w:br/>
      </w:r>
      <w:r>
        <w:rPr>
          <w:rFonts w:ascii="Consolas" w:hAnsi="Consolas" w:eastAsia="Consolas"/>
          <w:b w:val="0"/>
          <w:color w:val="202124"/>
          <w:sz w:val="17"/>
        </w:rPr>
        <w:t>moon test --target all --deny-warn</w:t>
        <w:br/>
      </w:r>
      <w:r>
        <w:rPr>
          <w:rFonts w:ascii="Consolas" w:hAnsi="Consolas" w:eastAsia="Consolas"/>
          <w:b w:val="0"/>
          <w:color w:val="202124"/>
          <w:sz w:val="17"/>
        </w:rPr>
        <w:t>moon run cmd/main --target native --deny-warn</w:t>
        <w:br/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000000"/>
          <w:sz w:val="29"/>
        </w:rPr>
        <w:t>六 与 MoonVerity 的差异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78"/>
        <w:gridCol w:w="3278"/>
        <w:gridCol w:w="3278"/>
      </w:tblGrid>
      <w:tr>
        <w:trPr>
          <w:tblHeader w:val="true"/>
          <w:cantSplit w:val="true"/>
        </w:trPr>
        <w:tc>
          <w:tcPr>
            <w:tcW w:type="dxa" w:w="1728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4104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MoonVerity</w:t>
            </w:r>
          </w:p>
        </w:tc>
        <w:tc>
          <w:tcPr>
            <w:tcW w:type="dxa" w:w="4104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MoonSentinel</w:t>
            </w:r>
          </w:p>
        </w:tc>
      </w:tr>
      <w:tr>
        <w:trPr>
          <w:cantSplit w:val="true"/>
        </w:trPr>
        <w:tc>
          <w:tcPr>
            <w:tcW w:type="dxa" w:w="17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核心问题</w:t>
            </w:r>
          </w:p>
        </w:tc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数据是否满足合同和质量规则</w:t>
            </w:r>
          </w:p>
        </w:tc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数据能否因指定用途交给指定接收方</w:t>
            </w:r>
          </w:p>
        </w:tc>
      </w:tr>
      <w:tr>
        <w:trPr>
          <w:cantSplit w:val="true"/>
        </w:trPr>
        <w:tc>
          <w:tcPr>
            <w:tcW w:type="dxa" w:w="1728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输入</w:t>
            </w:r>
          </w:p>
        </w:tc>
        <w:tc>
          <w:tcPr>
            <w:tcW w:type="dxa" w:w="4104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CSV/JSONL 与数据合同</w:t>
            </w:r>
          </w:p>
        </w:tc>
        <w:tc>
          <w:tcPr>
            <w:tcW w:type="dxa" w:w="4104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Arrow RecordBatch、隐私策略与发布请求</w:t>
            </w:r>
          </w:p>
        </w:tc>
      </w:tr>
      <w:tr>
        <w:trPr>
          <w:cantSplit w:val="true"/>
        </w:trPr>
        <w:tc>
          <w:tcPr>
            <w:tcW w:type="dxa" w:w="17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主要能力</w:t>
            </w:r>
          </w:p>
        </w:tc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Required、类型、范围、枚举、唯一、画像、质量评分、合同差异</w:t>
            </w:r>
          </w:p>
        </w:tc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用途/接收方授权、逐行同意、k 匿名、字段最小化、敏感处理</w:t>
            </w:r>
          </w:p>
        </w:tc>
      </w:tr>
      <w:tr>
        <w:trPr>
          <w:cantSplit w:val="true"/>
        </w:trPr>
        <w:tc>
          <w:tcPr>
            <w:tcW w:type="dxa" w:w="1728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处置结果</w:t>
            </w:r>
          </w:p>
        </w:tc>
        <w:tc>
          <w:tcPr>
            <w:tcW w:type="dxa" w:w="4104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文本或 JSON 质量报告</w:t>
            </w:r>
          </w:p>
        </w:tc>
        <w:tc>
          <w:tcPr>
            <w:tcW w:type="dxa" w:w="4104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获准、隔离、隐私发现、发布清单四类 Arrow 批次</w:t>
            </w:r>
          </w:p>
        </w:tc>
      </w:tr>
      <w:tr>
        <w:trPr>
          <w:cantSplit w:val="true"/>
        </w:trPr>
        <w:tc>
          <w:tcPr>
            <w:tcW w:type="dxa" w:w="172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决策粒度</w:t>
            </w:r>
          </w:p>
        </w:tc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字段与行的质量合格性</w:t>
            </w:r>
          </w:p>
        </w:tc>
        <w:tc>
          <w:tcPr>
            <w:tcW w:type="dxa" w:w="410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请求级授权与记录级隐私资格</w:t>
            </w:r>
          </w:p>
        </w:tc>
      </w:tr>
      <w:tr>
        <w:trPr>
          <w:cantSplit w:val="true"/>
        </w:trPr>
        <w:tc>
          <w:tcPr>
            <w:tcW w:type="dxa" w:w="1728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明确不做</w:t>
            </w:r>
          </w:p>
        </w:tc>
        <w:tc>
          <w:tcPr>
            <w:tcW w:type="dxa" w:w="4104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—</w:t>
            </w:r>
          </w:p>
        </w:tc>
        <w:tc>
          <w:tcPr>
            <w:tcW w:type="dxa" w:w="4104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通用质量合同、Profile、Contract Diff、CSV/JSONL CLI</w:t>
            </w:r>
          </w:p>
        </w:tc>
      </w:tr>
    </w:tbl>
    <w:p>
      <w:pPr>
        <w:spacing w:after="20"/>
      </w:pP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本次核查逐项阅读了 Wchwch777/MoonVerity 的 README、申报书、架构文档以及 core/quality.mbt、core/validation.mbt、core/profile.mbt、core/diff.mbt 和 CLI。MoonSentinel 已删除与其重叠的通用质量规则模型，并用新的 PrivacyPolicy、ReleaseRequest、ConsentRequirement、DataClass、Treatment 和 ReleaseBundle 构成公开 API。</w:t>
      </w: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对 GitHub 公开仓库进一步检索 MoonBit privacy gate、anonymization 和 k-anonymity，未发现与当前组合相同的 MoonBit 实现。该结论基于截至 2026 年 9 月 20 日可检索到的公开内容；后续新增项目仍将按同一清单复核。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000000"/>
          <w:sz w:val="29"/>
        </w:rPr>
        <w:t>七 创新点和应用价值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1. 把用途和接收方作为运行时发布请求的一部分，而非只做静态 Schema 检查。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2. 同意资格先于 k 匿名计算，避免未授权记录虚增等价类并造成错误放行。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3. 数据分类和处理方式在策略校验阶段强绑定，敏感原值不能误配置为直接发布。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4. 默认不发布未声明字段，以数据最小化代替事后依赖人工删列。</w:t>
      </w:r>
    </w:p>
    <w:p>
      <w:pPr>
        <w:spacing w:after="80" w:line="298" w:lineRule="auto"/>
        <w:ind w:left="432" w:hanging="288"/>
      </w:pPr>
      <w:r>
        <w:rPr>
          <w:rFonts w:ascii="Microsoft YaHei" w:hAnsi="Microsoft YaHei" w:eastAsia="Microsoft YaHei"/>
          <w:b w:val="0"/>
          <w:color w:val="1F1F1F"/>
          <w:sz w:val="21"/>
        </w:rPr>
        <w:t>5. 发布数据与审计证据均为 Arrow，便于 Wasm、浏览器和分析管道直接交接。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000000"/>
          <w:sz w:val="29"/>
        </w:rPr>
        <w:t>八 原创和依赖边界</w:t>
      </w: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本仓库原创实现隐私策略校验、请求授权、逐行同意、候选集内 k 匿名、数据最小化、字段处理、拒绝原因和发布清单。Arrow Schema、Column、RecordBatch 及 IPC 编解码来自公开依赖 shunge/arrow@0.1.0，不作为原创成果申报。</w:t>
      </w:r>
    </w:p>
    <w:p>
      <w:pPr>
        <w:spacing w:after="100" w:line="317" w:lineRule="auto"/>
        <w:ind w:firstLine="420"/>
      </w:pPr>
      <w:r>
        <w:rPr>
          <w:rFonts w:ascii="Microsoft YaHei" w:hAnsi="Microsoft YaHei" w:eastAsia="Microsoft YaHei"/>
          <w:b w:val="0"/>
          <w:color w:val="1F1F1F"/>
          <w:sz w:val="21"/>
        </w:rPr>
        <w:t>当前生产包只公开 PrivacyPolicy、ReleaseRequest、ConsentRequirement、DataClass、Treatment、PrivacyReport 和 ReleaseBundle 等隐私发布类型，不再公开 Contract、Rule、Severity、ValidationReport 或通用质量评分接口。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000000"/>
          <w:sz w:val="29"/>
        </w:rPr>
        <w:t>九 当前限制和路线</w:t>
      </w:r>
    </w:p>
    <w:p>
      <w:pPr>
        <w:pStyle w:val="ListBullet"/>
        <w:spacing w:after="60" w:line="293" w:lineRule="auto"/>
        <w:ind w:left="389" w:hanging="216"/>
      </w:pPr>
      <w:r>
        <w:rPr>
          <w:rFonts w:ascii="Microsoft YaHei" w:hAnsi="Microsoft YaHei" w:eastAsia="Microsoft YaHei"/>
          <w:b w:val="0"/>
          <w:color w:val="1F1F1F"/>
          <w:sz w:val="21"/>
        </w:rPr>
        <w:t>当前 k 匿名作用于单个 RecordBatch，尚未支持跨批次累计。</w:t>
      </w:r>
    </w:p>
    <w:p>
      <w:pPr>
        <w:pStyle w:val="ListBullet"/>
        <w:spacing w:after="60" w:line="293" w:lineRule="auto"/>
        <w:ind w:left="389" w:hanging="216"/>
      </w:pPr>
      <w:r>
        <w:rPr>
          <w:rFonts w:ascii="Microsoft YaHei" w:hAnsi="Microsoft YaHei" w:eastAsia="Microsoft YaHei"/>
          <w:b w:val="0"/>
          <w:color w:val="1F1F1F"/>
          <w:sz w:val="21"/>
        </w:rPr>
        <w:t>当前敏感字段处理为固定字符串替换或删除，尚未接入密钥化假名服务。</w:t>
      </w:r>
    </w:p>
    <w:p>
      <w:pPr>
        <w:pStyle w:val="ListBullet"/>
        <w:spacing w:after="60" w:line="293" w:lineRule="auto"/>
        <w:ind w:left="389" w:hanging="216"/>
      </w:pPr>
      <w:r>
        <w:rPr>
          <w:rFonts w:ascii="Microsoft YaHei" w:hAnsi="Microsoft YaHei" w:eastAsia="Microsoft YaHei"/>
          <w:b w:val="0"/>
          <w:color w:val="1F1F1F"/>
          <w:sz w:val="21"/>
        </w:rPr>
        <w:t>当前等价类实现优先保证确定性与可审计性，超大批次仍需哈希索引和基准优化。</w:t>
      </w:r>
    </w:p>
    <w:p>
      <w:pPr>
        <w:pStyle w:val="ListBullet"/>
        <w:spacing w:after="60" w:line="293" w:lineRule="auto"/>
        <w:ind w:left="389" w:hanging="216"/>
      </w:pPr>
      <w:r>
        <w:rPr>
          <w:rFonts w:ascii="Microsoft YaHei" w:hAnsi="Microsoft YaHei" w:eastAsia="Microsoft YaHei"/>
          <w:b w:val="0"/>
          <w:color w:val="1F1F1F"/>
          <w:sz w:val="21"/>
        </w:rPr>
        <w:t>下一阶段计划增加 l-diversity、策略版本签名和可验证发布清单。</w:t>
      </w:r>
    </w:p>
    <w:p>
      <w:pPr>
        <w:pStyle w:val="ListBullet"/>
        <w:spacing w:after="60" w:line="293" w:lineRule="auto"/>
        <w:ind w:left="389" w:hanging="216"/>
      </w:pPr>
      <w:r>
        <w:rPr>
          <w:rFonts w:ascii="Microsoft YaHei" w:hAnsi="Microsoft YaHei" w:eastAsia="Microsoft YaHei"/>
          <w:b w:val="0"/>
          <w:color w:val="1F1F1F"/>
          <w:sz w:val="21"/>
        </w:rPr>
        <w:t>项目不是法律合规意见；实际部署仍需由数据责任人结合地区法规配置策略。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000000"/>
          <w:sz w:val="29"/>
        </w:rPr>
        <w:t>十 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78"/>
        <w:gridCol w:w="3278"/>
        <w:gridCol w:w="3278"/>
      </w:tblGrid>
      <w:tr>
        <w:trPr>
          <w:tblHeader w:val="true"/>
          <w:cantSplit w:val="true"/>
        </w:trPr>
        <w:tc>
          <w:tcPr>
            <w:tcW w:type="dxa" w:w="79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520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6696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通过条件</w:t>
            </w:r>
          </w:p>
        </w:tc>
      </w:tr>
      <w:tr>
        <w:trPr>
          <w:cantSplit w:val="true"/>
        </w:trPr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1</w:t>
            </w:r>
          </w:p>
        </w:tc>
        <w:tc>
          <w:tcPr>
            <w:tcW w:type="dxa" w:w="25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差异化接口</w:t>
            </w:r>
          </w:p>
        </w:tc>
        <w:tc>
          <w:tcPr>
            <w:tcW w:type="dxa" w:w="66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公开 API 不含通用质量合同、质量评分、画像或合同差异</w:t>
            </w:r>
          </w:p>
        </w:tc>
      </w:tr>
      <w:tr>
        <w:trPr>
          <w:cantSplit w:val="true"/>
        </w:trPr>
        <w:tc>
          <w:tcPr>
            <w:tcW w:type="dxa" w:w="792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2</w:t>
            </w:r>
          </w:p>
        </w:tc>
        <w:tc>
          <w:tcPr>
            <w:tcW w:type="dxa" w:w="2520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完整授权链</w:t>
            </w:r>
          </w:p>
        </w:tc>
        <w:tc>
          <w:tcPr>
            <w:tcW w:type="dxa" w:w="6696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用途、接收方、同意、k 匿名和最小化均参与结果</w:t>
            </w:r>
          </w:p>
        </w:tc>
      </w:tr>
      <w:tr>
        <w:trPr>
          <w:cantSplit w:val="true"/>
        </w:trPr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3</w:t>
            </w:r>
          </w:p>
        </w:tc>
        <w:tc>
          <w:tcPr>
            <w:tcW w:type="dxa" w:w="25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隐私失败关闭</w:t>
            </w:r>
          </w:p>
        </w:tc>
        <w:tc>
          <w:tcPr>
            <w:tcW w:type="dxa" w:w="66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策略或关键列无效时不产生可发布记录</w:t>
            </w:r>
          </w:p>
        </w:tc>
      </w:tr>
      <w:tr>
        <w:trPr>
          <w:cantSplit w:val="true"/>
        </w:trPr>
        <w:tc>
          <w:tcPr>
            <w:tcW w:type="dxa" w:w="792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4</w:t>
            </w:r>
          </w:p>
        </w:tc>
        <w:tc>
          <w:tcPr>
            <w:tcW w:type="dxa" w:w="2520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全目标测试</w:t>
            </w:r>
          </w:p>
        </w:tc>
        <w:tc>
          <w:tcPr>
            <w:tcW w:type="dxa" w:w="6696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8 项测试在 Native、JavaScript、Wasm、Wasm-GC 全部通过</w:t>
            </w:r>
          </w:p>
        </w:tc>
      </w:tr>
      <w:tr>
        <w:trPr>
          <w:cantSplit w:val="true"/>
        </w:trPr>
        <w:tc>
          <w:tcPr>
            <w:tcW w:type="dxa" w:w="7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5</w:t>
            </w:r>
          </w:p>
        </w:tc>
        <w:tc>
          <w:tcPr>
            <w:tcW w:type="dxa" w:w="25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Arrow 交接</w:t>
            </w:r>
          </w:p>
        </w:tc>
        <w:tc>
          <w:tcPr>
            <w:tcW w:type="dxa" w:w="669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隐私发现和发布清单可完成 IPC 写入与读取</w:t>
            </w:r>
          </w:p>
        </w:tc>
      </w:tr>
      <w:tr>
        <w:trPr>
          <w:cantSplit w:val="true"/>
        </w:trPr>
        <w:tc>
          <w:tcPr>
            <w:tcW w:type="dxa" w:w="792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6</w:t>
            </w:r>
          </w:p>
        </w:tc>
        <w:tc>
          <w:tcPr>
            <w:tcW w:type="dxa" w:w="2520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材料一致</w:t>
            </w:r>
          </w:p>
        </w:tc>
        <w:tc>
          <w:tcPr>
            <w:tcW w:type="dxa" w:w="6696"/>
            <w:shd w:fill="F4F7FA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1F1F1F"/>
                <w:sz w:val="19"/>
              </w:rPr>
              <w:t>README、申报书、差异说明、演示输出和当前代码一致</w:t>
            </w:r>
          </w:p>
        </w:tc>
      </w:tr>
    </w:tbl>
    <w:p>
      <w:pPr>
        <w:spacing w:after="0" w:before="0" w:line="20" w:lineRule="exact"/>
      </w:pPr>
      <w:r>
        <w:rPr>
          <w:rFonts w:ascii="Microsoft YaHei" w:hAnsi="Microsoft YaHei" w:eastAsia="Microsoft YaHei"/>
          <w:b w:val="0"/>
          <w:color w:val="FFFFFF"/>
          <w:sz w:val="2"/>
        </w:rPr>
        <w:t xml:space="preserve"> </w:t>
      </w:r>
    </w:p>
    <w:sectPr w:rsidR="00FC693F" w:rsidRPr="0006063C" w:rsidSect="00034616">
      <w:footerReference w:type="default" r:id="rId9"/>
      <w:pgSz w:w="11909" w:h="16834"/>
      <w:pgMar w:top="979" w:right="1037" w:bottom="950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</w:pPr>
    <w:r>
      <w:rPr>
        <w:rFonts w:ascii="Microsoft YaHei" w:hAnsi="Microsoft YaHei" w:eastAsia="Microsoft YaHei"/>
        <w:b w:val="0"/>
        <w:color w:val="6B7280"/>
        <w:sz w:val="17"/>
      </w:rPr>
      <w:t xml:space="preserve">MoonSentinel 项目申报书  第 </w:t>
    </w:r>
    <w:r>
      <w:rPr>
        <w:rFonts w:ascii="Microsoft YaHei" w:hAnsi="Microsoft YaHei" w:eastAsia="Microsoft YaHei"/>
        <w:b w:val="0"/>
        <w:color w:val="6B7280"/>
        <w:sz w:val="17"/>
      </w:rP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B7280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MoonSentinel 项目申报书</dc:title>
  <dc:subject>MoonBit 开源大赛九月黑客松项目申报</dc:subject>
  <dc:creator>苏天纬</dc:creator>
  <cp:keywords>MoonSentinel MoonBit Arrow 隐私 用途 同意 k匿名 发布门禁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