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0" w:after="100"/>
        <w:jc w:val="center"/>
      </w:pPr>
      <w:r>
        <w:rPr>
          <w:rFonts w:ascii="Microsoft YaHei" w:hAnsi="Microsoft YaHei" w:eastAsia="Microsoft YaHei"/>
          <w:b/>
          <w:color w:val="000000"/>
          <w:sz w:val="41"/>
        </w:rPr>
        <w:t>MoonSentinel 项目申报书</w:t>
      </w:r>
    </w:p>
    <w:p>
      <w:pPr>
        <w:spacing w:after="200"/>
        <w:jc w:val="center"/>
      </w:pPr>
      <w:r>
        <w:rPr>
          <w:rFonts w:ascii="Microsoft YaHei" w:hAnsi="Microsoft YaHei" w:eastAsia="Microsoft YaHei"/>
          <w:b/>
          <w:color w:val="1F1F1F"/>
          <w:sz w:val="24"/>
        </w:rPr>
        <w:t>用途绑定的 Arrow 隐私发布门禁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17"/>
        <w:gridCol w:w="4917"/>
      </w:tblGrid>
      <w:tr>
        <w:tc>
          <w:tcPr>
            <w:tcW w:type="dxa" w:w="2016"/>
            <w:shd w:fill="E8EEF5"/>
            <w:vAlign w:val="center"/>
            <w:tcMar>
              <w:top w:w="42" w:type="dxa"/>
              <w:start w:w="105" w:type="dxa"/>
              <w:bottom w:w="42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1F1F"/>
                <w:sz w:val="18"/>
              </w:rPr>
              <w:t>项目名称</w:t>
            </w:r>
          </w:p>
        </w:tc>
        <w:tc>
          <w:tcPr>
            <w:tcW w:type="dxa" w:w="7992"/>
            <w:vAlign w:val="center"/>
            <w:tcMar>
              <w:top w:w="42" w:type="dxa"/>
              <w:start w:w="105" w:type="dxa"/>
              <w:bottom w:w="42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MoonSentinel</w:t>
            </w:r>
          </w:p>
        </w:tc>
      </w:tr>
      <w:tr>
        <w:tc>
          <w:tcPr>
            <w:tcW w:type="dxa" w:w="2016"/>
            <w:shd w:fill="E8EEF5"/>
            <w:vAlign w:val="center"/>
            <w:tcMar>
              <w:top w:w="42" w:type="dxa"/>
              <w:start w:w="105" w:type="dxa"/>
              <w:bottom w:w="42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1F1F"/>
                <w:sz w:val="18"/>
              </w:rPr>
              <w:t>项目负责人</w:t>
            </w:r>
          </w:p>
        </w:tc>
        <w:tc>
          <w:tcPr>
            <w:tcW w:type="dxa" w:w="7992"/>
            <w:vAlign w:val="center"/>
            <w:tcMar>
              <w:top w:w="42" w:type="dxa"/>
              <w:start w:w="105" w:type="dxa"/>
              <w:bottom w:w="42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苏天纬</w:t>
            </w:r>
          </w:p>
        </w:tc>
      </w:tr>
      <w:tr>
        <w:tc>
          <w:tcPr>
            <w:tcW w:type="dxa" w:w="2016"/>
            <w:shd w:fill="E8EEF5"/>
            <w:vAlign w:val="center"/>
            <w:tcMar>
              <w:top w:w="42" w:type="dxa"/>
              <w:start w:w="105" w:type="dxa"/>
              <w:bottom w:w="42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1F1F"/>
                <w:sz w:val="18"/>
              </w:rPr>
              <w:t>代码仓库</w:t>
            </w:r>
          </w:p>
        </w:tc>
        <w:tc>
          <w:tcPr>
            <w:tcW w:type="dxa" w:w="7992"/>
            <w:vAlign w:val="center"/>
            <w:tcMar>
              <w:top w:w="42" w:type="dxa"/>
              <w:start w:w="105" w:type="dxa"/>
              <w:bottom w:w="42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https://github.com/STW135-2026/moonsentinel</w:t>
            </w:r>
          </w:p>
        </w:tc>
      </w:tr>
      <w:tr>
        <w:tc>
          <w:tcPr>
            <w:tcW w:type="dxa" w:w="2016"/>
            <w:shd w:fill="E8EEF5"/>
            <w:vAlign w:val="center"/>
            <w:tcMar>
              <w:top w:w="42" w:type="dxa"/>
              <w:start w:w="105" w:type="dxa"/>
              <w:bottom w:w="42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1F1F"/>
                <w:sz w:val="18"/>
              </w:rPr>
              <w:t>开源许可证</w:t>
            </w:r>
          </w:p>
        </w:tc>
        <w:tc>
          <w:tcPr>
            <w:tcW w:type="dxa" w:w="7992"/>
            <w:vAlign w:val="center"/>
            <w:tcMar>
              <w:top w:w="42" w:type="dxa"/>
              <w:start w:w="105" w:type="dxa"/>
              <w:bottom w:w="42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Apache-2.0</w:t>
            </w:r>
          </w:p>
        </w:tc>
      </w:tr>
      <w:tr>
        <w:tc>
          <w:tcPr>
            <w:tcW w:type="dxa" w:w="2016"/>
            <w:shd w:fill="E8EEF5"/>
            <w:vAlign w:val="center"/>
            <w:tcMar>
              <w:top w:w="42" w:type="dxa"/>
              <w:start w:w="105" w:type="dxa"/>
              <w:bottom w:w="42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1F1F"/>
                <w:sz w:val="18"/>
              </w:rPr>
              <w:t>底层依赖</w:t>
            </w:r>
          </w:p>
        </w:tc>
        <w:tc>
          <w:tcPr>
            <w:tcW w:type="dxa" w:w="7992"/>
            <w:vAlign w:val="center"/>
            <w:tcMar>
              <w:top w:w="42" w:type="dxa"/>
              <w:start w:w="105" w:type="dxa"/>
              <w:bottom w:w="42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shunge/arrow@0.1.0  MIT</w:t>
            </w:r>
          </w:p>
        </w:tc>
      </w:tr>
    </w:tbl>
    <w:p>
      <w:pPr>
        <w:spacing w:before="160" w:after="140" w:line="288" w:lineRule="auto"/>
      </w:pPr>
      <w:r>
        <w:rPr>
          <w:rFonts w:ascii="Microsoft YaHei" w:hAnsi="Microsoft YaHei" w:eastAsia="Microsoft YaHei"/>
          <w:b/>
          <w:color w:val="000000"/>
          <w:sz w:val="21"/>
        </w:rPr>
        <w:t xml:space="preserve">本次修订结论  </w:t>
      </w:r>
      <w:r>
        <w:rPr>
          <w:rFonts w:ascii="Microsoft YaHei" w:hAnsi="Microsoft YaHei" w:eastAsia="Microsoft YaHei"/>
          <w:b w:val="0"/>
          <w:color w:val="1F1F1F"/>
          <w:sz w:val="21"/>
        </w:rPr>
        <w:t>MoonSentinel 已从通用数据质量规则项目重构为用途绑定的隐私发布授权器。当前生产接口不再提供 Required、Unique、Range、Enum、Profile、Contract Diff 等数据质量能力，而是围绕用途、接收方、逐行同意、k 匿名、l-diversity 和最小化发布完成可执行决策。</w:t>
      </w:r>
    </w:p>
    <w:p>
      <w:pPr>
        <w:pStyle w:val="Heading1"/>
        <w:keepNext/>
        <w:spacing w:before="180" w:after="80"/>
      </w:pPr>
      <w:r>
        <w:rPr>
          <w:rFonts w:ascii="Microsoft YaHei" w:hAnsi="Microsoft YaHei" w:eastAsia="Microsoft YaHei"/>
          <w:b/>
          <w:color w:val="000000"/>
          <w:sz w:val="28"/>
        </w:rPr>
        <w:t>一 项目定位</w:t>
      </w:r>
    </w:p>
    <w:p>
      <w:pPr>
        <w:spacing w:after="80" w:line="288" w:lineRule="auto"/>
        <w:ind w:firstLine="420"/>
      </w:pPr>
      <w:r>
        <w:rPr>
          <w:rFonts w:ascii="Microsoft YaHei" w:hAnsi="Microsoft YaHei" w:eastAsia="Microsoft YaHei"/>
          <w:b w:val="0"/>
          <w:color w:val="1F1F1F"/>
          <w:sz w:val="21"/>
        </w:rPr>
        <w:t>MoonSentinel 是使用 MoonBit 编写的 Arrow 隐私发布门禁。调用方提交 Arrow RecordBatch、PrivacyPolicy 和 ReleaseRequest，系统判断这批数据在指定用途和接收方条件下能否发布，并同时生成获准数据、隔离数据、隐私发现和发布清单四个 Arrow RecordBatch。</w:t>
      </w:r>
    </w:p>
    <w:p>
      <w:pPr>
        <w:spacing w:after="80" w:line="288" w:lineRule="auto"/>
        <w:ind w:firstLine="420"/>
      </w:pPr>
      <w:r>
        <w:rPr>
          <w:rFonts w:ascii="Microsoft YaHei" w:hAnsi="Microsoft YaHei" w:eastAsia="Microsoft YaHei"/>
          <w:b w:val="0"/>
          <w:color w:val="1F1F1F"/>
          <w:sz w:val="21"/>
        </w:rPr>
        <w:t>本项目回答的是“这批数据能否因这个用途交给这个接收方”这一授权问题，而不是“字段格式是否正确”这一数据质量问题。它不提供通用合同校验、质量评分、数据画像、合同差异或 CSV/JSONL 验证命令。</w:t>
      </w:r>
    </w:p>
    <w:p>
      <w:pPr>
        <w:pStyle w:val="Heading1"/>
        <w:keepNext/>
        <w:spacing w:before="180" w:after="80"/>
      </w:pPr>
      <w:r>
        <w:rPr>
          <w:rFonts w:ascii="Microsoft YaHei" w:hAnsi="Microsoft YaHei" w:eastAsia="Microsoft YaHei"/>
          <w:b/>
          <w:color w:val="000000"/>
          <w:sz w:val="28"/>
        </w:rPr>
        <w:t>二 实际问题和目标用户</w:t>
      </w:r>
    </w:p>
    <w:p>
      <w:pPr>
        <w:spacing w:after="80" w:line="288" w:lineRule="auto"/>
        <w:ind w:firstLine="420"/>
      </w:pPr>
      <w:r>
        <w:rPr>
          <w:rFonts w:ascii="Microsoft YaHei" w:hAnsi="Microsoft YaHei" w:eastAsia="Microsoft YaHei"/>
          <w:b w:val="0"/>
          <w:color w:val="1F1F1F"/>
          <w:sz w:val="21"/>
        </w:rPr>
        <w:t>研究数据、风控样本、合作方数据集和 AI 训练数据经常已经满足格式要求，却仍可能因为用途越界、接收方未获授权、用户未同意、准标识符群体过小、敏感属性过于集中或多余字段外泄而不能发布。MoonSentinel 把这些隐私条件变成可测试、可审计的代码路径。</w:t>
      </w:r>
    </w:p>
    <w:p>
      <w:pPr>
        <w:spacing w:after="60" w:line="274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1. 数据负责人在向合作方交付数据前，验证用途、接收方和最小群体规模。</w:t>
      </w:r>
    </w:p>
    <w:p>
      <w:pPr>
        <w:spacing w:after="60" w:line="274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2. 研究与风控团队只获得与申请用途相关的字段和已同意的记录。</w:t>
      </w:r>
    </w:p>
    <w:p>
      <w:pPr>
        <w:spacing w:after="60" w:line="274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3. 浏览器或边缘应用通过 MoonBit/Wasm 在本地执行同一套发布策略。</w:t>
      </w:r>
    </w:p>
    <w:p>
      <w:pPr>
        <w:spacing w:after="60" w:line="274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4. 审计人员通过 Arrow 发布清单追踪申请编号、策略编号、放行量和隔离量。</w:t>
      </w:r>
    </w:p>
    <w:p>
      <w:pPr>
        <w:pStyle w:val="Heading1"/>
        <w:keepNext/>
        <w:spacing w:before="180" w:after="80"/>
      </w:pPr>
      <w:r>
        <w:rPr>
          <w:rFonts w:ascii="Microsoft YaHei" w:hAnsi="Microsoft YaHei" w:eastAsia="Microsoft YaHei"/>
          <w:b/>
          <w:color w:val="000000"/>
          <w:sz w:val="28"/>
        </w:rPr>
        <w:t>三 已完成的 MVP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78"/>
        <w:gridCol w:w="3278"/>
        <w:gridCol w:w="3278"/>
      </w:tblGrid>
      <w:tr>
        <w:trPr>
          <w:tblHeader w:val="true"/>
          <w:cantSplit w:val="true"/>
        </w:trPr>
        <w:tc>
          <w:tcPr>
            <w:tcW w:type="dxa" w:w="1656"/>
            <w:shd w:fill="17365D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6408"/>
            <w:shd w:fill="17365D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当前实现</w:t>
            </w:r>
          </w:p>
        </w:tc>
        <w:tc>
          <w:tcPr>
            <w:tcW w:type="dxa" w:w="1944"/>
            <w:shd w:fill="17365D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验证</w:t>
            </w:r>
          </w:p>
        </w:tc>
      </w:tr>
      <w:tr>
        <w:trPr>
          <w:cantSplit w:val="true"/>
        </w:trPr>
        <w:tc>
          <w:tcPr>
            <w:tcW w:type="dxa" w:w="1656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用途约束</w:t>
            </w:r>
          </w:p>
        </w:tc>
        <w:tc>
          <w:tcPr>
            <w:tcW w:type="dxa" w:w="6408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策略列出允许用途，越界用途整批拒绝</w:t>
            </w:r>
          </w:p>
        </w:tc>
        <w:tc>
          <w:tcPr>
            <w:tcW w:type="dxa" w:w="1944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自动化测试</w:t>
            </w:r>
          </w:p>
        </w:tc>
      </w:tr>
      <w:tr>
        <w:trPr>
          <w:cantSplit w:val="true"/>
        </w:trPr>
        <w:tc>
          <w:tcPr>
            <w:tcW w:type="dxa" w:w="1656"/>
            <w:shd w:fill="F4F7FA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接收方约束</w:t>
            </w:r>
          </w:p>
        </w:tc>
        <w:tc>
          <w:tcPr>
            <w:tcW w:type="dxa" w:w="6408"/>
            <w:shd w:fill="F4F7FA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Internal、Partner、Public 分级授权</w:t>
            </w:r>
          </w:p>
        </w:tc>
        <w:tc>
          <w:tcPr>
            <w:tcW w:type="dxa" w:w="1944"/>
            <w:shd w:fill="F4F7FA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自动化测试</w:t>
            </w:r>
          </w:p>
        </w:tc>
      </w:tr>
      <w:tr>
        <w:trPr>
          <w:cantSplit w:val="true"/>
        </w:trPr>
        <w:tc>
          <w:tcPr>
            <w:tcW w:type="dxa" w:w="1656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逐行同意</w:t>
            </w:r>
          </w:p>
        </w:tc>
        <w:tc>
          <w:tcPr>
            <w:tcW w:type="dxa" w:w="6408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按同意列筛选候选记录，未同意行进入隔离</w:t>
            </w:r>
          </w:p>
        </w:tc>
        <w:tc>
          <w:tcPr>
            <w:tcW w:type="dxa" w:w="1944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自动化测试</w:t>
            </w:r>
          </w:p>
        </w:tc>
      </w:tr>
      <w:tr>
        <w:trPr>
          <w:cantSplit w:val="true"/>
        </w:trPr>
        <w:tc>
          <w:tcPr>
            <w:tcW w:type="dxa" w:w="1656"/>
            <w:shd w:fill="F4F7FA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k 匿名</w:t>
            </w:r>
          </w:p>
        </w:tc>
        <w:tc>
          <w:tcPr>
            <w:tcW w:type="dxa" w:w="6408"/>
            <w:shd w:fill="F4F7FA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只在已同意候选行中按准标识符组合计算等价类</w:t>
            </w:r>
          </w:p>
        </w:tc>
        <w:tc>
          <w:tcPr>
            <w:tcW w:type="dxa" w:w="1944"/>
            <w:shd w:fill="F4F7FA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自动化测试</w:t>
            </w:r>
          </w:p>
        </w:tc>
      </w:tr>
      <w:tr>
        <w:trPr>
          <w:cantSplit w:val="true"/>
        </w:trPr>
        <w:tc>
          <w:tcPr>
            <w:tcW w:type="dxa" w:w="1656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l-diversity</w:t>
            </w:r>
          </w:p>
        </w:tc>
        <w:tc>
          <w:tcPr>
            <w:tcW w:type="dxa" w:w="6408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只在通过 k 匿名的固定候选集中检查敏感属性不同值</w:t>
            </w:r>
          </w:p>
        </w:tc>
        <w:tc>
          <w:tcPr>
            <w:tcW w:type="dxa" w:w="1944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自动化测试</w:t>
            </w:r>
          </w:p>
        </w:tc>
      </w:tr>
      <w:tr>
        <w:trPr>
          <w:cantSplit w:val="true"/>
        </w:trPr>
        <w:tc>
          <w:tcPr>
            <w:tcW w:type="dxa" w:w="1656"/>
            <w:shd w:fill="F4F7FA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最小化发布</w:t>
            </w:r>
          </w:p>
        </w:tc>
        <w:tc>
          <w:tcPr>
            <w:tcW w:type="dxa" w:w="6408"/>
            <w:shd w:fill="F4F7FA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仅发布策略列明字段，未列字段默认不输出</w:t>
            </w:r>
          </w:p>
        </w:tc>
        <w:tc>
          <w:tcPr>
            <w:tcW w:type="dxa" w:w="1944"/>
            <w:shd w:fill="F4F7FA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自动化测试</w:t>
            </w:r>
          </w:p>
        </w:tc>
      </w:tr>
      <w:tr>
        <w:trPr>
          <w:cantSplit w:val="true"/>
        </w:trPr>
        <w:tc>
          <w:tcPr>
            <w:tcW w:type="dxa" w:w="1656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敏感处理</w:t>
            </w:r>
          </w:p>
        </w:tc>
        <w:tc>
          <w:tcPr>
            <w:tcW w:type="dxa" w:w="6408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直接标识符和敏感字段必须替换或删除，禁止原值 Keep</w:t>
            </w:r>
          </w:p>
        </w:tc>
        <w:tc>
          <w:tcPr>
            <w:tcW w:type="dxa" w:w="1944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策略校验</w:t>
            </w:r>
          </w:p>
        </w:tc>
      </w:tr>
      <w:tr>
        <w:trPr>
          <w:cantSplit w:val="true"/>
        </w:trPr>
        <w:tc>
          <w:tcPr>
            <w:tcW w:type="dxa" w:w="1656"/>
            <w:shd w:fill="F4F7FA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Arrow 结果</w:t>
            </w:r>
          </w:p>
        </w:tc>
        <w:tc>
          <w:tcPr>
            <w:tcW w:type="dxa" w:w="6408"/>
            <w:shd w:fill="F4F7FA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approved、quarantine、findings、manifest 四类 RecordBatch</w:t>
            </w:r>
          </w:p>
        </w:tc>
        <w:tc>
          <w:tcPr>
            <w:tcW w:type="dxa" w:w="1944"/>
            <w:shd w:fill="F4F7FA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IPC 回环</w:t>
            </w:r>
          </w:p>
        </w:tc>
      </w:tr>
      <w:tr>
        <w:trPr>
          <w:cantSplit w:val="true"/>
        </w:trPr>
        <w:tc>
          <w:tcPr>
            <w:tcW w:type="dxa" w:w="1656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跨目标</w:t>
            </w:r>
          </w:p>
        </w:tc>
        <w:tc>
          <w:tcPr>
            <w:tcW w:type="dxa" w:w="6408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Native、JavaScript、Wasm、Wasm-GC</w:t>
            </w:r>
          </w:p>
        </w:tc>
        <w:tc>
          <w:tcPr>
            <w:tcW w:type="dxa" w:w="1944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9 项测试全通过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Microsoft YaHei" w:hAnsi="Microsoft YaHei" w:eastAsia="Microsoft YaHei"/>
          <w:b/>
          <w:color w:val="000000"/>
          <w:sz w:val="28"/>
        </w:rPr>
        <w:t>四 发布决策流程</w:t>
      </w:r>
    </w:p>
    <w:p>
      <w:pPr>
        <w:spacing w:after="60" w:line="274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1. 校验 PrivacyPolicy 和 ReleaseRequest 是否完整、互相匹配。</w:t>
      </w:r>
    </w:p>
    <w:p>
      <w:pPr>
        <w:spacing w:after="60" w:line="274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2. 检查用途和接收方是否在策略允许范围内；不允许则整批拒绝。</w:t>
      </w:r>
    </w:p>
    <w:p>
      <w:pPr>
        <w:spacing w:after="60" w:line="274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3. 依据同意列筛出候选行，未同意或缺少同意的数据进入隔离。</w:t>
      </w:r>
    </w:p>
    <w:p>
      <w:pPr>
        <w:spacing w:after="60" w:line="274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4. 在候选行内按所有准标识符组合计算等价类，低于 k 的记录不得发布。</w:t>
      </w:r>
    </w:p>
    <w:p>
      <w:pPr>
        <w:spacing w:after="60" w:line="274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5. 在通过 k 匿名的固定候选集内检查指定敏感属性，不同非空值低于 l 的记录不得发布。</w:t>
      </w:r>
    </w:p>
    <w:p>
      <w:pPr>
        <w:spacing w:after="60" w:line="274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6. 对获准行执行 Keep、ReplaceUtf8 或 Drop，并默认删除未声明字段。</w:t>
      </w:r>
    </w:p>
    <w:p>
      <w:pPr>
        <w:spacing w:after="60" w:line="274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7. 输出获准、隔离、隐私发现和单行发布清单，供下游与审计共同使用。</w:t>
      </w:r>
    </w:p>
    <w:p>
      <w:pPr>
        <w:spacing w:after="80" w:line="288" w:lineRule="auto"/>
        <w:ind w:firstLine="420"/>
      </w:pPr>
      <w:r>
        <w:rPr>
          <w:rFonts w:ascii="Microsoft YaHei" w:hAnsi="Microsoft YaHei" w:eastAsia="Microsoft YaHei"/>
          <w:b w:val="0"/>
          <w:color w:val="1F1F1F"/>
          <w:sz w:val="21"/>
        </w:rPr>
        <w:t>策略采用 fail-closed 设计：直接标识符或敏感字段不能以 Keep 发布；准标识符必须保留并参与 k 匿名；l-diversity 列必须是 Sensitive UTF-8；缺失关键列、字段类型错误或请求与策略不匹配均阻断发布。发现明细可以截断，但拒绝计数保持准确。</w:t>
      </w:r>
    </w:p>
    <w:p>
      <w:pPr>
        <w:pStyle w:val="Heading1"/>
        <w:keepNext/>
        <w:spacing w:before="180" w:after="80"/>
      </w:pPr>
      <w:r>
        <w:rPr>
          <w:rFonts w:ascii="Microsoft YaHei" w:hAnsi="Microsoft YaHei" w:eastAsia="Microsoft YaHei"/>
          <w:b/>
          <w:color w:val="000000"/>
          <w:sz w:val="28"/>
        </w:rPr>
        <w:t>五 可运行演示</w:t>
      </w:r>
    </w:p>
    <w:p>
      <w:pPr>
        <w:spacing w:after="80" w:line="288" w:lineRule="auto"/>
        <w:ind w:firstLine="420"/>
      </w:pPr>
      <w:r>
        <w:rPr>
          <w:rFonts w:ascii="Microsoft YaHei" w:hAnsi="Microsoft YaHei" w:eastAsia="Microsoft YaHei"/>
          <w:b w:val="0"/>
          <w:color w:val="1F1F1F"/>
          <w:sz w:val="21"/>
        </w:rPr>
        <w:t>仓库演示申请把客户风控样本交给合作方，用途为 fraud_research。六行输入中四行满足同意、k=2 与 l=2，两个不满足的记录被隔离，邮件字段替换为 [EMAIL]，敏感结果列和未申报字段不会进入获准批次。</w:t>
      </w:r>
    </w:p>
    <w:p>
      <w:pPr>
        <w:keepLines/>
        <w:spacing w:before="60" w:after="120" w:line="259" w:lineRule="auto"/>
        <w:ind w:left="403"/>
        <w:shd w:fill="F2F4F7"/>
      </w:pPr>
      <w:r>
        <w:rPr>
          <w:rFonts w:ascii="Consolas" w:hAnsi="Consolas" w:eastAsia="Consolas"/>
          <w:b w:val="0"/>
          <w:color w:val="202124"/>
          <w:sz w:val="17"/>
        </w:rPr>
        <w:t>fraud-research-v1/req-2026-001: partial; purpose=fraud_research;</w:t>
        <w:br/>
      </w:r>
      <w:r>
        <w:rPr>
          <w:rFonts w:ascii="Consolas" w:hAnsi="Consolas" w:eastAsia="Consolas"/>
          <w:b w:val="0"/>
          <w:color w:val="202124"/>
          <w:sz w:val="17"/>
        </w:rPr>
        <w:t>recipient=partner; rows=6; released=4; quarantined=2; denials=2;</w:t>
        <w:br/>
      </w:r>
      <w:r>
        <w:rPr>
          <w:rFonts w:ascii="Consolas" w:hAnsi="Consolas" w:eastAsia="Consolas"/>
          <w:b w:val="0"/>
          <w:color w:val="202124"/>
          <w:sz w:val="17"/>
        </w:rPr>
        <w:t>k=2; l=2; diversity=case_outcome; findings_shown=2; truncated=false</w:t>
        <w:br/>
      </w:r>
      <w:r>
        <w:rPr>
          <w:rFonts w:ascii="Consolas" w:hAnsi="Consolas" w:eastAsia="Consolas"/>
          <w:b w:val="0"/>
          <w:color w:val="202124"/>
          <w:sz w:val="17"/>
        </w:rPr>
        <w:t>released columns: email, country, age_band, risk_score</w:t>
        <w:br/>
      </w:r>
      <w:r>
        <w:rPr>
          <w:rFonts w:ascii="Consolas" w:hAnsi="Consolas" w:eastAsia="Consolas"/>
          <w:b w:val="0"/>
          <w:color w:val="202124"/>
          <w:sz w:val="17"/>
        </w:rPr>
        <w:t>approved rows: 4    quarantined rows: 2    privacy findings: 2</w:t>
        <w:br/>
      </w:r>
      <w:r>
        <w:rPr>
          <w:rFonts w:ascii="Consolas" w:hAnsi="Consolas" w:eastAsia="Consolas"/>
          <w:b w:val="0"/>
          <w:color w:val="202124"/>
          <w:sz w:val="17"/>
        </w:rPr>
        <w:t>release manifest rows: 1    masked email: [EMAIL]</w:t>
        <w:br/>
      </w:r>
      <w:r>
        <w:rPr>
          <w:rFonts w:ascii="Consolas" w:hAnsi="Consolas" w:eastAsia="Consolas"/>
          <w:b w:val="0"/>
          <w:color w:val="202124"/>
          <w:sz w:val="17"/>
        </w:rPr>
        <w:t>Arrow IPC handoff: 1136 bytes, 4 released rows</w:t>
      </w:r>
    </w:p>
    <w:p>
      <w:pPr>
        <w:keepLines/>
        <w:spacing w:before="60" w:after="120" w:line="259" w:lineRule="auto"/>
        <w:ind w:left="403"/>
        <w:shd w:fill="F2F4F7"/>
      </w:pPr>
      <w:r>
        <w:rPr>
          <w:rFonts w:ascii="Consolas" w:hAnsi="Consolas" w:eastAsia="Consolas"/>
          <w:b w:val="0"/>
          <w:color w:val="202124"/>
          <w:sz w:val="17"/>
        </w:rPr>
        <w:t>moon fmt --check &amp;&amp; moon check --target all --deny-warn</w:t>
        <w:br/>
      </w:r>
      <w:r>
        <w:rPr>
          <w:rFonts w:ascii="Consolas" w:hAnsi="Consolas" w:eastAsia="Consolas"/>
          <w:b w:val="0"/>
          <w:color w:val="202124"/>
          <w:sz w:val="17"/>
        </w:rPr>
        <w:t>moon test --target all --deny-warn &amp;&amp; moon run cmd/main --target native --deny-warn</w:t>
      </w:r>
    </w:p>
    <w:p>
      <w:pPr>
        <w:pStyle w:val="Heading1"/>
        <w:keepNext/>
        <w:spacing w:before="180" w:after="80"/>
      </w:pPr>
      <w:r>
        <w:rPr>
          <w:rFonts w:ascii="Microsoft YaHei" w:hAnsi="Microsoft YaHei" w:eastAsia="Microsoft YaHei"/>
          <w:b/>
          <w:color w:val="000000"/>
          <w:sz w:val="28"/>
        </w:rPr>
        <w:t>六 与 MoonVerity 的差异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78"/>
        <w:gridCol w:w="3278"/>
        <w:gridCol w:w="3278"/>
      </w:tblGrid>
      <w:tr>
        <w:trPr>
          <w:tblHeader w:val="true"/>
          <w:cantSplit w:val="true"/>
        </w:trPr>
        <w:tc>
          <w:tcPr>
            <w:tcW w:type="dxa" w:w="1728"/>
            <w:shd w:fill="17365D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4104"/>
            <w:shd w:fill="17365D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MoonVerity</w:t>
            </w:r>
          </w:p>
        </w:tc>
        <w:tc>
          <w:tcPr>
            <w:tcW w:type="dxa" w:w="4104"/>
            <w:shd w:fill="17365D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MoonSentinel</w:t>
            </w:r>
          </w:p>
        </w:tc>
      </w:tr>
      <w:tr>
        <w:trPr>
          <w:cantSplit w:val="true"/>
        </w:trPr>
        <w:tc>
          <w:tcPr>
            <w:tcW w:type="dxa" w:w="1728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核心问题</w:t>
            </w:r>
          </w:p>
        </w:tc>
        <w:tc>
          <w:tcPr>
            <w:tcW w:type="dxa" w:w="4104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数据是否满足合同和质量规则</w:t>
            </w:r>
          </w:p>
        </w:tc>
        <w:tc>
          <w:tcPr>
            <w:tcW w:type="dxa" w:w="4104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数据能否因指定用途交给指定接收方</w:t>
            </w:r>
          </w:p>
        </w:tc>
      </w:tr>
      <w:tr>
        <w:trPr>
          <w:cantSplit w:val="true"/>
        </w:trPr>
        <w:tc>
          <w:tcPr>
            <w:tcW w:type="dxa" w:w="1728"/>
            <w:shd w:fill="F4F7FA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输入</w:t>
            </w:r>
          </w:p>
        </w:tc>
        <w:tc>
          <w:tcPr>
            <w:tcW w:type="dxa" w:w="4104"/>
            <w:shd w:fill="F4F7FA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CSV/JSONL 与数据合同</w:t>
            </w:r>
          </w:p>
        </w:tc>
        <w:tc>
          <w:tcPr>
            <w:tcW w:type="dxa" w:w="4104"/>
            <w:shd w:fill="F4F7FA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Arrow RecordBatch、隐私策略与发布请求</w:t>
            </w:r>
          </w:p>
        </w:tc>
      </w:tr>
      <w:tr>
        <w:trPr>
          <w:cantSplit w:val="true"/>
        </w:trPr>
        <w:tc>
          <w:tcPr>
            <w:tcW w:type="dxa" w:w="1728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主要能力</w:t>
            </w:r>
          </w:p>
        </w:tc>
        <w:tc>
          <w:tcPr>
            <w:tcW w:type="dxa" w:w="4104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Required、类型、范围、枚举、唯一、画像、质量评分、合同差异</w:t>
            </w:r>
          </w:p>
        </w:tc>
        <w:tc>
          <w:tcPr>
            <w:tcW w:type="dxa" w:w="4104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用途/接收方授权、逐行同意、k 匿名、l-diversity、字段最小化</w:t>
            </w:r>
          </w:p>
        </w:tc>
      </w:tr>
      <w:tr>
        <w:trPr>
          <w:cantSplit w:val="true"/>
        </w:trPr>
        <w:tc>
          <w:tcPr>
            <w:tcW w:type="dxa" w:w="1728"/>
            <w:shd w:fill="F4F7FA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处置结果</w:t>
            </w:r>
          </w:p>
        </w:tc>
        <w:tc>
          <w:tcPr>
            <w:tcW w:type="dxa" w:w="4104"/>
            <w:shd w:fill="F4F7FA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文本或 JSON 质量报告</w:t>
            </w:r>
          </w:p>
        </w:tc>
        <w:tc>
          <w:tcPr>
            <w:tcW w:type="dxa" w:w="4104"/>
            <w:shd w:fill="F4F7FA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获准、隔离、隐私发现、发布清单四类 Arrow 批次</w:t>
            </w:r>
          </w:p>
        </w:tc>
      </w:tr>
      <w:tr>
        <w:trPr>
          <w:cantSplit w:val="true"/>
        </w:trPr>
        <w:tc>
          <w:tcPr>
            <w:tcW w:type="dxa" w:w="1728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决策粒度</w:t>
            </w:r>
          </w:p>
        </w:tc>
        <w:tc>
          <w:tcPr>
            <w:tcW w:type="dxa" w:w="4104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字段与行的质量合格性</w:t>
            </w:r>
          </w:p>
        </w:tc>
        <w:tc>
          <w:tcPr>
            <w:tcW w:type="dxa" w:w="4104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请求级授权与记录级隐私资格</w:t>
            </w:r>
          </w:p>
        </w:tc>
      </w:tr>
      <w:tr>
        <w:trPr>
          <w:cantSplit w:val="true"/>
        </w:trPr>
        <w:tc>
          <w:tcPr>
            <w:tcW w:type="dxa" w:w="1728"/>
            <w:shd w:fill="F4F7FA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明确不做</w:t>
            </w:r>
          </w:p>
        </w:tc>
        <w:tc>
          <w:tcPr>
            <w:tcW w:type="dxa" w:w="4104"/>
            <w:shd w:fill="F4F7FA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—</w:t>
            </w:r>
          </w:p>
        </w:tc>
        <w:tc>
          <w:tcPr>
            <w:tcW w:type="dxa" w:w="4104"/>
            <w:shd w:fill="F4F7FA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通用质量合同、Profile、Contract Diff、CSV/JSONL CLI</w:t>
            </w:r>
          </w:p>
        </w:tc>
      </w:tr>
    </w:tbl>
    <w:p>
      <w:pPr>
        <w:spacing w:after="20"/>
      </w:pPr>
    </w:p>
    <w:p>
      <w:pPr>
        <w:spacing w:after="80" w:line="288" w:lineRule="auto"/>
        <w:ind w:firstLine="420"/>
      </w:pPr>
      <w:r>
        <w:rPr>
          <w:rFonts w:ascii="Microsoft YaHei" w:hAnsi="Microsoft YaHei" w:eastAsia="Microsoft YaHei"/>
          <w:b w:val="0"/>
          <w:color w:val="1F1F1F"/>
          <w:sz w:val="21"/>
        </w:rPr>
        <w:t>本次核查逐项阅读了 Wchwch777/MoonVerity 的 README、申报书、架构文档以及 core/quality.mbt、core/validation.mbt、core/profile.mbt、core/diff.mbt 和 CLI。MoonSentinel 已删除与其重叠的通用质量规则模型，并用新的 PrivacyPolicy、ReleaseRequest、ConsentRequirement、DataClass、Treatment 和 ReleaseBundle 构成公开 API。</w:t>
      </w:r>
    </w:p>
    <w:p>
      <w:pPr>
        <w:spacing w:after="80" w:line="288" w:lineRule="auto"/>
        <w:ind w:firstLine="420"/>
      </w:pPr>
      <w:r>
        <w:rPr>
          <w:rFonts w:ascii="Microsoft YaHei" w:hAnsi="Microsoft YaHei" w:eastAsia="Microsoft YaHei"/>
          <w:b w:val="0"/>
          <w:color w:val="1F1F1F"/>
          <w:sz w:val="21"/>
        </w:rPr>
        <w:t>2026 年 9 月 21 日扩展检索 GitHub，并核查 MoonRedact、moonbit-fhir、moon-privacy-budget、MoonTrustFlow、MoonLogfmt Lens 与 PhotoPrivacy；未发现同时实现 Arrow 发布请求、逐行同意、k 匿名、l-diversity 和四类 Arrow 输出的 MoonBit 项目。</w:t>
      </w:r>
    </w:p>
    <w:p>
      <w:pPr>
        <w:pStyle w:val="Heading1"/>
        <w:keepNext/>
        <w:spacing w:before="180" w:after="80"/>
      </w:pPr>
      <w:r>
        <w:rPr>
          <w:rFonts w:ascii="Microsoft YaHei" w:hAnsi="Microsoft YaHei" w:eastAsia="Microsoft YaHei"/>
          <w:b/>
          <w:color w:val="000000"/>
          <w:sz w:val="28"/>
        </w:rPr>
        <w:t>七 创新点和应用价值</w:t>
      </w:r>
    </w:p>
    <w:p>
      <w:pPr>
        <w:spacing w:after="60" w:line="274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1. 把用途和接收方作为运行时发布请求的一部分，而非只做静态 Schema 检查。</w:t>
      </w:r>
    </w:p>
    <w:p>
      <w:pPr>
        <w:spacing w:after="60" w:line="274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2. 同意资格先于 k 匿名计算，避免未授权记录虚增等价类并造成错误放行。</w:t>
      </w:r>
    </w:p>
    <w:p>
      <w:pPr>
        <w:spacing w:after="60" w:line="274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3. l-diversity 在通过 k 匿名的固定候选集上运行，避免匿名组泄露过于单一的敏感属性。</w:t>
      </w:r>
    </w:p>
    <w:p>
      <w:pPr>
        <w:spacing w:after="60" w:line="274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4. 数据分类和处理方式在策略校验阶段强绑定，敏感原值不能误配置为直接发布。</w:t>
      </w:r>
    </w:p>
    <w:p>
      <w:pPr>
        <w:spacing w:after="60" w:line="274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5. 默认不发布未声明字段，以数据最小化代替事后依赖人工删列。</w:t>
      </w:r>
    </w:p>
    <w:p>
      <w:pPr>
        <w:spacing w:after="60" w:line="274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6. 发布数据与审计证据均为 Arrow，便于 Wasm、浏览器和分析管道直接交接。</w:t>
      </w:r>
    </w:p>
    <w:p>
      <w:pPr>
        <w:pStyle w:val="Heading1"/>
        <w:keepNext/>
        <w:spacing w:before="180" w:after="80"/>
      </w:pPr>
      <w:r>
        <w:rPr>
          <w:rFonts w:ascii="Microsoft YaHei" w:hAnsi="Microsoft YaHei" w:eastAsia="Microsoft YaHei"/>
          <w:b/>
          <w:color w:val="000000"/>
          <w:sz w:val="28"/>
        </w:rPr>
        <w:t>八 原创和依赖边界</w:t>
      </w:r>
    </w:p>
    <w:p>
      <w:pPr>
        <w:spacing w:after="80" w:line="288" w:lineRule="auto"/>
        <w:ind w:firstLine="420"/>
      </w:pPr>
      <w:r>
        <w:rPr>
          <w:rFonts w:ascii="Microsoft YaHei" w:hAnsi="Microsoft YaHei" w:eastAsia="Microsoft YaHei"/>
          <w:b w:val="0"/>
          <w:color w:val="1F1F1F"/>
          <w:sz w:val="21"/>
        </w:rPr>
        <w:t>本仓库原创实现隐私策略校验、请求授权、逐行同意、候选集内 k 匿名、敏感属性 l-diversity、数据最小化、字段处理、拒绝原因和发布清单。Arrow Schema、Column、RecordBatch 及 IPC 编解码来自公开依赖 shunge/arrow@0.1.0，不作为原创成果申报。</w:t>
      </w:r>
    </w:p>
    <w:p>
      <w:pPr>
        <w:spacing w:after="80" w:line="288" w:lineRule="auto"/>
        <w:ind w:firstLine="420"/>
      </w:pPr>
      <w:r>
        <w:rPr>
          <w:rFonts w:ascii="Microsoft YaHei" w:hAnsi="Microsoft YaHei" w:eastAsia="Microsoft YaHei"/>
          <w:b w:val="0"/>
          <w:color w:val="1F1F1F"/>
          <w:sz w:val="21"/>
        </w:rPr>
        <w:t>当前生产包只公开 PrivacyPolicy、ReleaseRequest、ConsentRequirement、DataClass、Treatment、PrivacyReport 和 ReleaseBundle 等隐私发布类型，不再公开 Contract、Rule、Severity、ValidationReport 或通用质量评分接口。</w:t>
      </w:r>
    </w:p>
    <w:p>
      <w:pPr>
        <w:pStyle w:val="Heading1"/>
        <w:keepNext/>
        <w:spacing w:before="180" w:after="80"/>
      </w:pPr>
      <w:r>
        <w:rPr>
          <w:rFonts w:ascii="Microsoft YaHei" w:hAnsi="Microsoft YaHei" w:eastAsia="Microsoft YaHei"/>
          <w:b/>
          <w:color w:val="000000"/>
          <w:sz w:val="28"/>
        </w:rPr>
        <w:t>九 当前限制和路线</w:t>
      </w:r>
    </w:p>
    <w:p>
      <w:pPr>
        <w:pStyle w:val="ListBullet"/>
        <w:spacing w:after="40" w:line="278" w:lineRule="auto"/>
        <w:ind w:left="389" w:hanging="216"/>
      </w:pPr>
      <w:r>
        <w:rPr>
          <w:rFonts w:ascii="Microsoft YaHei" w:hAnsi="Microsoft YaHei" w:eastAsia="Microsoft YaHei"/>
          <w:b w:val="0"/>
          <w:color w:val="1F1F1F"/>
          <w:sz w:val="21"/>
        </w:rPr>
        <w:t>当前 k 匿名和 l-diversity 作用于单个 RecordBatch；l-diversity 只支持 UTF-8 敏感属性，空值不计入不同值数量。</w:t>
      </w:r>
    </w:p>
    <w:p>
      <w:pPr>
        <w:pStyle w:val="ListBullet"/>
        <w:spacing w:after="40" w:line="278" w:lineRule="auto"/>
        <w:ind w:left="389" w:hanging="216"/>
      </w:pPr>
      <w:r>
        <w:rPr>
          <w:rFonts w:ascii="Microsoft YaHei" w:hAnsi="Microsoft YaHei" w:eastAsia="Microsoft YaHei"/>
          <w:b w:val="0"/>
          <w:color w:val="1F1F1F"/>
          <w:sz w:val="21"/>
        </w:rPr>
        <w:t>当前敏感字段处理为固定字符串替换或删除，尚未接入密钥化假名服务。</w:t>
      </w:r>
    </w:p>
    <w:p>
      <w:pPr>
        <w:pStyle w:val="ListBullet"/>
        <w:spacing w:after="40" w:line="278" w:lineRule="auto"/>
        <w:ind w:left="389" w:hanging="216"/>
      </w:pPr>
      <w:r>
        <w:rPr>
          <w:rFonts w:ascii="Microsoft YaHei" w:hAnsi="Microsoft YaHei" w:eastAsia="Microsoft YaHei"/>
          <w:b w:val="0"/>
          <w:color w:val="1F1F1F"/>
          <w:sz w:val="21"/>
        </w:rPr>
        <w:t>下一阶段计划增加 t-closeness、策略版本签名和可验证发布清单。</w:t>
      </w:r>
    </w:p>
    <w:p>
      <w:pPr>
        <w:pStyle w:val="ListBullet"/>
        <w:spacing w:after="40" w:line="278" w:lineRule="auto"/>
        <w:ind w:left="389" w:hanging="216"/>
      </w:pPr>
      <w:r>
        <w:rPr>
          <w:rFonts w:ascii="Microsoft YaHei" w:hAnsi="Microsoft YaHei" w:eastAsia="Microsoft YaHei"/>
          <w:b w:val="0"/>
          <w:color w:val="1F1F1F"/>
          <w:sz w:val="21"/>
        </w:rPr>
        <w:t>项目不是法律合规意见；实际部署仍需由数据责任人结合地区法规配置策略。</w:t>
      </w:r>
    </w:p>
    <w:p>
      <w:pPr>
        <w:pStyle w:val="Heading1"/>
        <w:keepNext/>
        <w:spacing w:before="180" w:after="80"/>
      </w:pPr>
      <w:r>
        <w:rPr>
          <w:rFonts w:ascii="Microsoft YaHei" w:hAnsi="Microsoft YaHei" w:eastAsia="Microsoft YaHei"/>
          <w:b/>
          <w:color w:val="000000"/>
          <w:sz w:val="28"/>
        </w:rPr>
        <w:t>十 验收标准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78"/>
        <w:gridCol w:w="3278"/>
        <w:gridCol w:w="3278"/>
      </w:tblGrid>
      <w:tr>
        <w:trPr>
          <w:tblHeader w:val="true"/>
          <w:cantSplit w:val="true"/>
        </w:trPr>
        <w:tc>
          <w:tcPr>
            <w:tcW w:type="dxa" w:w="792"/>
            <w:shd w:fill="17365D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520"/>
            <w:shd w:fill="17365D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验收项</w:t>
            </w:r>
          </w:p>
        </w:tc>
        <w:tc>
          <w:tcPr>
            <w:tcW w:type="dxa" w:w="6696"/>
            <w:shd w:fill="17365D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通过条件</w:t>
            </w:r>
          </w:p>
        </w:tc>
      </w:tr>
      <w:tr>
        <w:trPr>
          <w:cantSplit w:val="true"/>
        </w:trPr>
        <w:tc>
          <w:tcPr>
            <w:tcW w:type="dxa" w:w="792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1</w:t>
            </w:r>
          </w:p>
        </w:tc>
        <w:tc>
          <w:tcPr>
            <w:tcW w:type="dxa" w:w="2520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差异化接口</w:t>
            </w:r>
          </w:p>
        </w:tc>
        <w:tc>
          <w:tcPr>
            <w:tcW w:type="dxa" w:w="6696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公开 API 不含通用质量合同、质量评分、画像或合同差异</w:t>
            </w:r>
          </w:p>
        </w:tc>
      </w:tr>
      <w:tr>
        <w:trPr>
          <w:cantSplit w:val="true"/>
        </w:trPr>
        <w:tc>
          <w:tcPr>
            <w:tcW w:type="dxa" w:w="792"/>
            <w:shd w:fill="F4F7FA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2</w:t>
            </w:r>
          </w:p>
        </w:tc>
        <w:tc>
          <w:tcPr>
            <w:tcW w:type="dxa" w:w="2520"/>
            <w:shd w:fill="F4F7FA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完整授权链</w:t>
            </w:r>
          </w:p>
        </w:tc>
        <w:tc>
          <w:tcPr>
            <w:tcW w:type="dxa" w:w="6696"/>
            <w:shd w:fill="F4F7FA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用途、接收方、同意、k 匿名、l-diversity 和最小化均参与结果</w:t>
            </w:r>
          </w:p>
        </w:tc>
      </w:tr>
      <w:tr>
        <w:trPr>
          <w:cantSplit w:val="true"/>
        </w:trPr>
        <w:tc>
          <w:tcPr>
            <w:tcW w:type="dxa" w:w="792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3</w:t>
            </w:r>
          </w:p>
        </w:tc>
        <w:tc>
          <w:tcPr>
            <w:tcW w:type="dxa" w:w="2520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隐私失败关闭</w:t>
            </w:r>
          </w:p>
        </w:tc>
        <w:tc>
          <w:tcPr>
            <w:tcW w:type="dxa" w:w="6696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策略或关键列无效时不产生可发布记录</w:t>
            </w:r>
          </w:p>
        </w:tc>
      </w:tr>
      <w:tr>
        <w:trPr>
          <w:cantSplit w:val="true"/>
        </w:trPr>
        <w:tc>
          <w:tcPr>
            <w:tcW w:type="dxa" w:w="792"/>
            <w:shd w:fill="F4F7FA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4</w:t>
            </w:r>
          </w:p>
        </w:tc>
        <w:tc>
          <w:tcPr>
            <w:tcW w:type="dxa" w:w="2520"/>
            <w:shd w:fill="F4F7FA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全目标测试</w:t>
            </w:r>
          </w:p>
        </w:tc>
        <w:tc>
          <w:tcPr>
            <w:tcW w:type="dxa" w:w="6696"/>
            <w:shd w:fill="F4F7FA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9 项测试在 Native、JavaScript、Wasm、Wasm-GC 全部通过</w:t>
            </w:r>
          </w:p>
        </w:tc>
      </w:tr>
      <w:tr>
        <w:trPr>
          <w:cantSplit w:val="true"/>
        </w:trPr>
        <w:tc>
          <w:tcPr>
            <w:tcW w:type="dxa" w:w="792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5</w:t>
            </w:r>
          </w:p>
        </w:tc>
        <w:tc>
          <w:tcPr>
            <w:tcW w:type="dxa" w:w="2520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Arrow 交接</w:t>
            </w:r>
          </w:p>
        </w:tc>
        <w:tc>
          <w:tcPr>
            <w:tcW w:type="dxa" w:w="6696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隐私发现和发布清单可完成 IPC 写入与读取</w:t>
            </w:r>
          </w:p>
        </w:tc>
      </w:tr>
      <w:tr>
        <w:trPr>
          <w:cantSplit w:val="true"/>
        </w:trPr>
        <w:tc>
          <w:tcPr>
            <w:tcW w:type="dxa" w:w="792"/>
            <w:shd w:fill="F4F7FA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6</w:t>
            </w:r>
          </w:p>
        </w:tc>
        <w:tc>
          <w:tcPr>
            <w:tcW w:type="dxa" w:w="2520"/>
            <w:shd w:fill="F4F7FA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材料一致</w:t>
            </w:r>
          </w:p>
        </w:tc>
        <w:tc>
          <w:tcPr>
            <w:tcW w:type="dxa" w:w="6696"/>
            <w:shd w:fill="F4F7FA"/>
            <w:vAlign w:val="center"/>
            <w:tcMar>
              <w:top w:w="65" w:type="dxa"/>
              <w:start w:w="105" w:type="dxa"/>
              <w:bottom w:w="65" w:type="dxa"/>
              <w:end w:w="105" w:type="dxa"/>
            </w:tcMar>
          </w:tcPr>
          <w:p>
            <w:pPr>
              <w:spacing w:before="0" w:after="0" w:line="254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8"/>
              </w:rPr>
              <w:t>README、申报书、差异说明、演示输出和当前代码一致</w:t>
            </w:r>
          </w:p>
        </w:tc>
      </w:tr>
    </w:tbl>
    <w:p>
      <w:pPr>
        <w:spacing w:after="0" w:before="0" w:line="20" w:lineRule="exact"/>
      </w:pPr>
      <w:r>
        <w:rPr>
          <w:rFonts w:ascii="Microsoft YaHei" w:hAnsi="Microsoft YaHei" w:eastAsia="Microsoft YaHei"/>
          <w:b w:val="0"/>
          <w:color w:val="FFFFFF"/>
          <w:sz w:val="2"/>
        </w:rPr>
        <w:t xml:space="preserve"> </w:t>
      </w:r>
    </w:p>
    <w:sectPr w:rsidR="00FC693F" w:rsidRPr="0006063C" w:rsidSect="00034616">
      <w:footerReference w:type="default" r:id="rId9"/>
      <w:pgSz w:w="11909" w:h="16834"/>
      <w:pgMar w:top="864" w:right="1037" w:bottom="950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60"/>
      <w:jc w:val="center"/>
    </w:pPr>
    <w:r>
      <w:rPr>
        <w:rFonts w:ascii="Microsoft YaHei" w:hAnsi="Microsoft YaHei" w:eastAsia="Microsoft YaHei"/>
        <w:b w:val="0"/>
        <w:color w:val="6B7280"/>
        <w:sz w:val="17"/>
      </w:rPr>
      <w:t xml:space="preserve">MoonSentinel 项目申报书  第 </w:t>
    </w:r>
    <w:r>
      <w:rPr>
        <w:rFonts w:ascii="Microsoft YaHei" w:hAnsi="Microsoft YaHei" w:eastAsia="Microsoft YaHei"/>
        <w:b w:val="0"/>
        <w:color w:val="6B7280"/>
        <w:sz w:val="17"/>
      </w:rPr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color w:val="6B7280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MoonSentinel 项目申报书</dc:title>
  <dc:subject>MoonBit 开源大赛九月黑客松项目申报</dc:subject>
  <dc:creator>苏天纬</dc:creator>
  <cp:keywords>MoonSentinel MoonBit Arrow 隐私 用途 同意 k匿名 l-diversity 发布门禁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