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DEFINICIÓN DE PROBLEMÁTICA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Necesidad y Pregunta Problema</w:t>
      </w:r>
    </w:p>
    <w:p w:rsidR="00000000" w:rsidDel="00000000" w:rsidP="00000000" w:rsidRDefault="00000000" w:rsidRPr="00000000" w14:paraId="00000004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gestión de capital y el otorgamiento de créditos privados manejados por los socios de la organización requieren un mecanismo de control financiero centralizado</w:t>
      </w:r>
      <w:r w:rsidDel="00000000" w:rsidR="00000000" w:rsidRPr="00000000">
        <w:rPr>
          <w:rtl w:val="0"/>
        </w:rPr>
        <w:t xml:space="preserve"> y seguro.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Existe la necesidad imperativa de sustituir los registros </w:t>
      </w:r>
      <w:r w:rsidDel="00000000" w:rsidR="00000000" w:rsidRPr="00000000">
        <w:rPr>
          <w:rtl w:val="0"/>
        </w:rPr>
        <w:t xml:space="preserve">manuales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 independientes que maneja cada socio por una solución tecnológica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08" w:firstLine="708"/>
        <w:jc w:val="both"/>
        <w:rPr/>
      </w:pPr>
      <w:r w:rsidDel="00000000" w:rsidR="00000000" w:rsidRPr="00000000">
        <w:rPr>
          <w:rtl w:val="0"/>
        </w:rPr>
        <w:t xml:space="preserve">Teniendo en cuenta lo anterior se plantea la siguiente pregunta: ¿Cómo optimizar la gestión de capital y el otorgamiento de créditos privados mediante el desarrollo de un sistema de información web centralizado y seguro, que sustituya los registros manuales independientes manejados por todos los socios?</w:t>
      </w:r>
    </w:p>
    <w:p w:rsidR="00000000" w:rsidDel="00000000" w:rsidP="00000000" w:rsidRDefault="00000000" w:rsidRPr="00000000" w14:paraId="00000006">
      <w:pPr>
        <w:ind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Específicamente se requiere: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Centralización de Datos: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Unificar el registro de deudores y estados de cuenta en un único repositorio relacional para evitar la dispersión de la información.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ieyfa1axcos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del Backend: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motor de cálculo que aplique de manera exacta y autónoma las tasas de interés corriente y penalizaciones por morosidad diaria sin depender de la intervención administrativa.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Transparencia y Usabilidad: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Proveer canales de consulta autónomos para que los clientes verifiquen sus saldos y generen soportes de pago sin saturar la comunicación directa con los socios administradores.</w:t>
      </w:r>
    </w:p>
    <w:p w:rsidR="00000000" w:rsidDel="00000000" w:rsidP="00000000" w:rsidRDefault="00000000" w:rsidRPr="00000000" w14:paraId="0000000A">
      <w:pPr>
        <w:ind w:left="708" w:firstLine="708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Problemática</w:t>
      </w:r>
    </w:p>
    <w:p w:rsidR="00000000" w:rsidDel="00000000" w:rsidP="00000000" w:rsidRDefault="00000000" w:rsidRPr="00000000" w14:paraId="0000000C">
      <w:pPr>
        <w:ind w:left="360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núcleo del problema radica en que los procesos operativos, de control de cartera y de recaudo de dinero se ejecutan de manera descentralizada mediante hojas de cálculo distribuidas en Microsoft Excel. Esta metodología </w:t>
      </w:r>
      <w:r w:rsidDel="00000000" w:rsidR="00000000" w:rsidRPr="00000000">
        <w:rPr>
          <w:rtl w:val="0"/>
        </w:rPr>
        <w:t xml:space="preserve">tradicional y manual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expone al negocio a fallas críticas de integridad y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Vulnerabilidad y Error Humano: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calcular manualmente l</w:t>
      </w:r>
      <w:r w:rsidDel="00000000" w:rsidR="00000000" w:rsidRPr="00000000">
        <w:rPr>
          <w:rtl w:val="0"/>
        </w:rPr>
        <w:t xml:space="preserve">os ingresos de pago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la acumulación de intereses de mora por cada día de retraso, se generan inconsistencias matemáticas y errores de digitación que afectan el balance financiero.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Asimetría de Información: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deudores carecen de un acceso en tiempo real a sus saldos de cuenta vigentes, lo que genera fricciones operativas y obliga a los socios a realizar liquidaciones manuales repetitivas ante cada consulta.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360" w:right="0" w:firstLine="708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de Pérdida de Información: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no contar con una base de datos estructurada ni copias de seguridad automatizadas, la información financiera histórica es susceptible a pérdidas accidentales o modificaciones no autorizadas, comprometiendo la auditoría interna entre los 4 socios.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80" w:before="160" w:line="27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Conclusión de la Problemática</w:t>
      </w:r>
    </w:p>
    <w:p w:rsidR="00000000" w:rsidDel="00000000" w:rsidP="00000000" w:rsidRDefault="00000000" w:rsidRPr="00000000" w14:paraId="00000012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descontrol administrativo y el riesgo de inconsistencia financiera derivados de gestionar una cartera de créditos privados de manera manual, descentralizada y mediante hojas de cálculo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Esta falta de unificación tecnológica impide conocer el estado real </w:t>
      </w:r>
      <w:r w:rsidDel="00000000" w:rsidR="00000000" w:rsidRPr="00000000">
        <w:rPr>
          <w:rtl w:val="0"/>
        </w:rPr>
        <w:t xml:space="preserve">y total del capital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 tiempo real, limita la capacidad de cobro eficiente sobre los clientes morosos y frena la escalabilidad segura del modelo de negocio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FxGKuwWvLwCdWJZmpyPqzNs6Q==">CgMxLjAyDmgucGlleWZhMWF4Y29zOAByITFrNmlsSHMzR1cwdjlHZFFTMXdUMWFiT29WYWVMZGpPRw==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