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ACC_CASES_0001_0002 - ACCケーススタディ 0001-0002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2026-06-29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Consolidação editorial do segundo lote ACC; título do CASE-ACC-0002 normalizado.</w:t>
      </w:r>
    </w:p>
    <w:p>
      <w:pPr>
        <w:pStyle w:val="Heading2"/>
      </w:pPr>
      <w:r>
        <w:t>統合コンテンツ</w:t>
      </w:r>
    </w:p>
    <w:p>
      <w:pPr>
        <w:pStyle w:val="Heading1"/>
      </w:pPr>
      <w:r>
        <w:t>CASE-ACC-0001 - 勤務中の転倒と労災保険・傷害保険の整理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2026-06-29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da categoria ACC em estudos de caso.</w:t>
      </w:r>
    </w:p>
    <w:p>
      <w:pPr>
        <w:pStyle w:val="Heading2"/>
      </w:pPr>
      <w:r>
        <w:t>コード</w:t>
      </w:r>
    </w:p>
    <w:p>
      <w:r>
        <w:t>CASE-ACC-0001</w:t>
      </w:r>
    </w:p>
    <w:p>
      <w:pPr>
        <w:pStyle w:val="Heading2"/>
      </w:pPr>
      <w:r>
        <w:t>商品・カテゴリー</w:t>
      </w:r>
    </w:p>
    <w:p>
      <w:r>
        <w:t>ACC</w:t>
      </w:r>
    </w:p>
    <w:p>
      <w:pPr>
        <w:pStyle w:val="Heading2"/>
      </w:pPr>
      <w:r>
        <w:t>状況</w:t>
      </w:r>
    </w:p>
    <w:p>
      <w:r>
        <w:t>ブラジル人顧客が勤務中に転倒してけがをし、勤務先への報告と民間の傷害保険の請求を同時に相談している。</w:t>
      </w:r>
    </w:p>
    <w:p>
      <w:pPr>
        <w:pStyle w:val="Heading2"/>
      </w:pPr>
      <w:r>
        <w:t>問題</w:t>
      </w:r>
    </w:p>
    <w:p>
      <w:r>
        <w:t>顧客が労災保険、勤務先の手続き、民間の傷害保険を混同し、すぐに民間保険から支払われると期待している。</w:t>
      </w:r>
    </w:p>
    <w:p>
      <w:pPr>
        <w:pStyle w:val="Heading2"/>
      </w:pPr>
      <w:r>
        <w:t>分析</w:t>
      </w:r>
    </w:p>
    <w:p>
      <w:r>
        <w:t>勤務中の事故では、まず勤務先への報告、労災保険の可能性、事故状況、治療内容、契約条件を分けて整理する必要がある。民間の傷害保険は契約内容、特約、免責事由、必要書類、保険会社の査定により取り扱いが異なる。</w:t>
      </w:r>
    </w:p>
    <w:p>
      <w:pPr>
        <w:pStyle w:val="Heading2"/>
      </w:pPr>
      <w:r>
        <w:t>募集人への対応方針</w:t>
      </w:r>
    </w:p>
    <w:p>
      <w:r>
        <w:t>勤務先への報告状況、事故日、事故場所、事故原因、治療先、診断書、診療明細書、保険証券を確認する。労災保険と民間保険を分け、支払可否や支払時期を断定しない。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Como o acidente foi no trabalho, primeiro vamos separar o procedimento com a empresa, o seguro de acidente de trabalho e o seguro privado de acidentes.</w:t>
      </w:r>
    </w:p>
    <w:p>
      <w:pPr>
        <w:pStyle w:val="Heading3"/>
      </w:pPr>
      <w:r>
        <w:t>カタカナ読み</w:t>
      </w:r>
    </w:p>
    <w:p>
      <w:r>
        <w:t>コモ オ アシデンチ フォイ ノ トラバーリョ、プリメイロ ヴァモス セパラール オ プロセジメント コム ア エンプレーザ、オ セグーロ ジ アシデンチ ジ トラバーリョ イ オ セグーロ プリヴァード ジ アシデンチス</w:t>
      </w:r>
    </w:p>
    <w:p>
      <w:r>
        <w:t>日本語確認用: 仕事中の事故では、勤務先の手続き、労災保険、民間傷害保険を分けて確認する。</w:t>
      </w:r>
    </w:p>
    <w:p>
      <w:pPr>
        <w:pStyle w:val="Heading2"/>
      </w:pPr>
      <w:r>
        <w:t>次の安全な対応</w:t>
      </w:r>
    </w:p>
    <w:p>
      <w:r>
        <w:t>勤務先への報告を確認し、保険会社へ事故通知を行う。必要書類一覧を確認し、診断書、診療明細書、領収書をそろえる。</w:t>
      </w:r>
    </w:p>
    <w:p>
      <w:pPr>
        <w:pStyle w:val="Heading2"/>
      </w:pPr>
      <w:r>
        <w:t>コンプライアンス上の注意</w:t>
      </w:r>
    </w:p>
    <w:p>
      <w:r>
        <w:t>募集人は労災該当性、民間保険の支払可否、支払金額、支払時期を断定しない。最終判断は勤務先、公的制度、契約条件、提出書類、保険会社の査定による。</w:t>
      </w:r>
    </w:p>
    <w:p>
      <w:pPr>
        <w:pStyle w:val="Heading2"/>
      </w:pPr>
      <w:r>
        <w:t>期待される結果</w:t>
      </w:r>
    </w:p>
    <w:p>
      <w:r>
        <w:t>顧客が、仕事中の事故でも複数の確認ルートがあること、すぐに支払いを約束できないこと、必要書類をそろえる必要があることを理解する。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ACC-0001 - 傷害保険 - Seguro de acidentes pessoais</w:t>
      </w:r>
    </w:p>
    <w:p>
      <w:pPr>
        <w:pStyle w:val="ListBullet"/>
      </w:pPr>
      <w:r>
        <w:t>ACC-0002 - 労災保険 - Seguro de acidente de trabalho</w:t>
      </w:r>
    </w:p>
    <w:p>
      <w:pPr>
        <w:pStyle w:val="ListBullet"/>
      </w:pPr>
      <w:r>
        <w:t>ACC-0004 - 事故通知 - Aviso de acidente</w:t>
      </w:r>
    </w:p>
    <w:p>
      <w:pPr>
        <w:pStyle w:val="ListBullet"/>
      </w:pPr>
      <w:r>
        <w:t>ACC-0005 - 診断書 - Atestado médico</w:t>
      </w:r>
    </w:p>
    <w:p>
      <w:pPr>
        <w:pStyle w:val="Heading2"/>
      </w:pPr>
      <w:r>
        <w:t>関連FAQ</w:t>
      </w:r>
    </w:p>
    <w:p>
      <w:pPr>
        <w:pStyle w:val="ListBullet"/>
      </w:pPr>
      <w:r>
        <w:t>FAQ-ACC-0001</w:t>
      </w:r>
    </w:p>
    <w:p>
      <w:pPr>
        <w:pStyle w:val="ListBullet"/>
      </w:pPr>
      <w:r>
        <w:t>FAQ-ACC-0006</w:t>
      </w:r>
    </w:p>
    <w:p>
      <w:pPr>
        <w:pStyle w:val="ListBullet"/>
      </w:pPr>
      <w:r>
        <w:t>FAQ-ACC-0007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DIALOGUE-ACC-0001</w:t>
      </w:r>
    </w:p>
    <w:p>
      <w:pPr>
        <w:pStyle w:val="Heading2"/>
      </w:pPr>
      <w:r>
        <w:t>相互参照</w:t>
      </w:r>
    </w:p>
    <w:p>
      <w:pPr>
        <w:pStyle w:val="ListBullet"/>
      </w:pPr>
      <w:r>
        <w:t>ACC-0001</w:t>
      </w:r>
    </w:p>
    <w:p>
      <w:pPr>
        <w:pStyle w:val="ListBullet"/>
      </w:pPr>
      <w:r>
        <w:t>ACC-0002</w:t>
      </w:r>
    </w:p>
    <w:p>
      <w:pPr>
        <w:pStyle w:val="ListBullet"/>
      </w:pPr>
      <w:r>
        <w:t>ACC-0004</w:t>
      </w:r>
    </w:p>
    <w:p>
      <w:pPr>
        <w:pStyle w:val="ListBullet"/>
      </w:pPr>
      <w:r>
        <w:t>ACC-0005</w:t>
      </w:r>
    </w:p>
    <w:p>
      <w:pPr>
        <w:pStyle w:val="ListBullet"/>
      </w:pPr>
      <w:r>
        <w:t>FAQ-ACC-0001</w:t>
      </w:r>
    </w:p>
    <w:p>
      <w:pPr>
        <w:pStyle w:val="ListBullet"/>
      </w:pPr>
      <w:r>
        <w:t>FAQ-ACC-0006</w:t>
      </w:r>
    </w:p>
    <w:p>
      <w:pPr>
        <w:pStyle w:val="ListBullet"/>
      </w:pPr>
      <w:r>
        <w:t>FAQ-ACC-0007</w:t>
      </w:r>
    </w:p>
    <w:p>
      <w:pPr>
        <w:pStyle w:val="ListBullet"/>
      </w:pPr>
      <w:r>
        <w:t>DIALOGUE-ACC-0001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`14_FAQ/ACC/FAQ-ACC-0001.md`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acc</w:t>
      </w:r>
    </w:p>
    <w:p>
      <w:pPr>
        <w:pStyle w:val="ListBullet"/>
      </w:pPr>
      <w:r>
        <w:t>trabalho</w:t>
      </w:r>
    </w:p>
    <w:p>
      <w:pPr>
        <w:pStyle w:val="ListBullet"/>
      </w:pPr>
      <w:r>
        <w:t>労災保険</w:t>
      </w:r>
    </w:p>
    <w:p>
      <w:pPr>
        <w:pStyle w:val="ListBullet"/>
      </w:pPr>
      <w:r>
        <w:t>atendimento</w:t>
      </w:r>
    </w:p>
    <w:p>
      <w:pPr>
        <w:pStyle w:val="ListBullet"/>
      </w:pPr>
      <w:r>
        <w:t>compliance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`13_Dialogues/ACC/DIALOGUE-ACC-0001.md`</w:t>
      </w:r>
    </w:p>
    <w:p>
      <w:pPr>
        <w:pStyle w:val="ListBullet"/>
      </w:pPr>
      <w:r>
        <w:t>`14_FAQ/ACC/FAQ-ACC-0001.md`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2026-06-29 | 0.1 | JP-BR Insurance Knowledge Base | Criação inicial. |</w:t>
      </w:r>
    </w:p>
    <w:p>
      <w:pPr>
        <w:pStyle w:val="Heading1"/>
      </w:pPr>
      <w:r>
        <w:t>CASE-ACC-0002 - 事故入院と免責日数の説明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2026-06-29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 da categoria ACC em estudos de caso.</w:t>
      </w:r>
    </w:p>
    <w:p>
      <w:pPr>
        <w:pStyle w:val="Heading2"/>
      </w:pPr>
      <w:r>
        <w:t>コード</w:t>
      </w:r>
    </w:p>
    <w:p>
      <w:r>
        <w:t>CASE-ACC-0002</w:t>
      </w:r>
    </w:p>
    <w:p>
      <w:pPr>
        <w:pStyle w:val="Heading2"/>
      </w:pPr>
      <w:r>
        <w:t>商品・カテゴリー</w:t>
      </w:r>
    </w:p>
    <w:p>
      <w:r>
        <w:t>ACC</w:t>
      </w:r>
    </w:p>
    <w:p>
      <w:pPr>
        <w:pStyle w:val="Heading2"/>
      </w:pPr>
      <w:r>
        <w:t>状況</w:t>
      </w:r>
    </w:p>
    <w:p>
      <w:r>
        <w:t>ブラジル人顧客が事故で入院し、入院日数の全部が入院保険金として支払われるか確認している。</w:t>
      </w:r>
    </w:p>
    <w:p>
      <w:pPr>
        <w:pStyle w:val="Heading2"/>
      </w:pPr>
      <w:r>
        <w:t>問題</w:t>
      </w:r>
    </w:p>
    <w:p>
      <w:r>
        <w:t>顧客が入院日数と支払対象日数を同じものとして理解しており、免責日数、給付条件、提出書類、保険会社の査定を考慮していない。</w:t>
      </w:r>
    </w:p>
    <w:p>
      <w:pPr>
        <w:pStyle w:val="Heading2"/>
      </w:pPr>
      <w:r>
        <w:t>分析</w:t>
      </w:r>
    </w:p>
    <w:p>
      <w:r>
        <w:t>事故による入院保険金は、契約条件、入院の原因、入院日数、免責日数、必要書類、保険会社の査定によって取り扱いが変わる。免責日数がある場合、最初の一定日数が支払対象外となる可能性がある。</w:t>
      </w:r>
    </w:p>
    <w:p>
      <w:pPr>
        <w:pStyle w:val="Heading2"/>
      </w:pPr>
      <w:r>
        <w:t>募集人への対応方針</w:t>
      </w:r>
    </w:p>
    <w:p>
      <w:r>
        <w:t>入院開始日、退院日、事故日、治療内容、診断書、診療明細書、保険証券、約款、免責日数の規定を確認する。支払日数や金額を断定せず、保険会社の査定が必要であることを説明する。</w:t>
      </w:r>
    </w:p>
    <w:p>
      <w:pPr>
        <w:pStyle w:val="Heading2"/>
      </w:pPr>
      <w:r>
        <w:t>ブラジル人顧客への説明方法</w:t>
      </w:r>
    </w:p>
    <w:p>
      <w:pPr>
        <w:pStyle w:val="Heading3"/>
      </w:pPr>
      <w:r>
        <w:t>ポルトガル語で伝える内容</w:t>
      </w:r>
    </w:p>
    <w:p>
      <w:r>
        <w:t>Mesmo que você tenha ficado internado, precisamos confirmar no contrato se existe franquia em dias e quais dias podem ser pagos.</w:t>
      </w:r>
    </w:p>
    <w:p>
      <w:pPr>
        <w:pStyle w:val="Heading3"/>
      </w:pPr>
      <w:r>
        <w:t>カタカナ読み</w:t>
      </w:r>
    </w:p>
    <w:p>
      <w:r>
        <w:t>メズモ キ ヴォセ テーニャ フィカード インテルナード、プレシザモス コンフィルマール ノ コントラト セ エジスチ フランキア エン ジアス イ クアイス ジアス ポデン セール パゴス</w:t>
      </w:r>
    </w:p>
    <w:p>
      <w:r>
        <w:t>日本語確認用: 入院していても、免責日数と支払対象日数を契約で確認する必要がある。</w:t>
      </w:r>
    </w:p>
    <w:p>
      <w:pPr>
        <w:pStyle w:val="Heading2"/>
      </w:pPr>
      <w:r>
        <w:t>次の安全な対応</w:t>
      </w:r>
    </w:p>
    <w:p>
      <w:r>
        <w:t>保険証券、約款、入院期間、事故原因、診断書、診療明細書を確認し、保険会社指定の請求手続きへ進める。</w:t>
      </w:r>
    </w:p>
    <w:p>
      <w:pPr>
        <w:pStyle w:val="Heading2"/>
      </w:pPr>
      <w:r>
        <w:t>コンプライアンス上の注意</w:t>
      </w:r>
    </w:p>
    <w:p>
      <w:r>
        <w:t>支払対象日数、支払金額、支払可否をその場で断定しない。免責日数、契約条件、提出書類、保険会社の査定により結果が変わる。</w:t>
      </w:r>
    </w:p>
    <w:p>
      <w:pPr>
        <w:pStyle w:val="Heading2"/>
      </w:pPr>
      <w:r>
        <w:t>期待される結果</w:t>
      </w:r>
    </w:p>
    <w:p>
      <w:r>
        <w:t>顧客が、入院した事実だけでは支払日数が確定しないこと、免責日数と契約条件の確認が必要であることを理解する。</w:t>
      </w:r>
    </w:p>
    <w:p>
      <w:pPr>
        <w:pStyle w:val="Heading2"/>
      </w:pPr>
      <w:r>
        <w:t>関連用語</w:t>
      </w:r>
    </w:p>
    <w:p>
      <w:pPr>
        <w:pStyle w:val="ListBullet"/>
      </w:pPr>
      <w:r>
        <w:t>ACC-0007 - 入院保険金 - Benefício por internação causada por acidente</w:t>
      </w:r>
    </w:p>
    <w:p>
      <w:pPr>
        <w:pStyle w:val="ListBullet"/>
      </w:pPr>
      <w:r>
        <w:t>ACC-0009 - 免責日数 - Franquia temporal em dias</w:t>
      </w:r>
    </w:p>
    <w:p>
      <w:pPr>
        <w:pStyle w:val="ListBullet"/>
      </w:pPr>
      <w:r>
        <w:t>ACC-0010 - 免責事由 - Exclusões contratuais</w:t>
      </w:r>
    </w:p>
    <w:p>
      <w:pPr>
        <w:pStyle w:val="Heading2"/>
      </w:pPr>
      <w:r>
        <w:t>関連FAQ</w:t>
      </w:r>
    </w:p>
    <w:p>
      <w:pPr>
        <w:pStyle w:val="ListBullet"/>
      </w:pPr>
      <w:r>
        <w:t>FAQ-ACC-0005</w:t>
      </w:r>
    </w:p>
    <w:p>
      <w:pPr>
        <w:pStyle w:val="ListBullet"/>
      </w:pPr>
      <w:r>
        <w:t>FAQ-ACC-0009</w:t>
      </w:r>
    </w:p>
    <w:p>
      <w:pPr>
        <w:pStyle w:val="Heading2"/>
      </w:pPr>
      <w:r>
        <w:t>関連対話</w:t>
      </w:r>
    </w:p>
    <w:p>
      <w:pPr>
        <w:pStyle w:val="ListBullet"/>
      </w:pPr>
      <w:r>
        <w:t>DIALOGUE-ACC-0002</w:t>
      </w:r>
    </w:p>
    <w:p>
      <w:pPr>
        <w:pStyle w:val="Heading2"/>
      </w:pPr>
      <w:r>
        <w:t>相互参照</w:t>
      </w:r>
    </w:p>
    <w:p>
      <w:pPr>
        <w:pStyle w:val="ListBullet"/>
      </w:pPr>
      <w:r>
        <w:t>ACC-0007</w:t>
      </w:r>
    </w:p>
    <w:p>
      <w:pPr>
        <w:pStyle w:val="ListBullet"/>
      </w:pPr>
      <w:r>
        <w:t>ACC-0009</w:t>
      </w:r>
    </w:p>
    <w:p>
      <w:pPr>
        <w:pStyle w:val="ListBullet"/>
      </w:pPr>
      <w:r>
        <w:t>ACC-0010</w:t>
      </w:r>
    </w:p>
    <w:p>
      <w:pPr>
        <w:pStyle w:val="ListBullet"/>
      </w:pPr>
      <w:r>
        <w:t>FAQ-ACC-0005</w:t>
      </w:r>
    </w:p>
    <w:p>
      <w:pPr>
        <w:pStyle w:val="ListBullet"/>
      </w:pPr>
      <w:r>
        <w:t>FAQ-ACC-0009</w:t>
      </w:r>
    </w:p>
    <w:p>
      <w:pPr>
        <w:pStyle w:val="ListBullet"/>
      </w:pPr>
      <w:r>
        <w:t>DIALOGUE-ACC-0002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`14_FAQ/ACC/FAQ-ACC-0009.md`</w:t>
      </w:r>
    </w:p>
    <w:p>
      <w:pPr>
        <w:pStyle w:val="Heading2"/>
      </w:pPr>
      <w:r>
        <w:t>タグ</w:t>
      </w:r>
    </w:p>
    <w:p>
      <w:pPr>
        <w:pStyle w:val="ListBullet"/>
      </w:pPr>
      <w:r>
        <w:t>case</w:t>
      </w:r>
    </w:p>
    <w:p>
      <w:pPr>
        <w:pStyle w:val="ListBullet"/>
      </w:pPr>
      <w:r>
        <w:t>acc</w:t>
      </w:r>
    </w:p>
    <w:p>
      <w:pPr>
        <w:pStyle w:val="ListBullet"/>
      </w:pPr>
      <w:r>
        <w:t>internacao</w:t>
      </w:r>
    </w:p>
    <w:p>
      <w:pPr>
        <w:pStyle w:val="ListBullet"/>
      </w:pPr>
      <w:r>
        <w:t>franquia</w:t>
      </w:r>
    </w:p>
    <w:p>
      <w:pPr>
        <w:pStyle w:val="ListBullet"/>
      </w:pPr>
      <w:r>
        <w:t>compliance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`13_Dialogues/ACC/DIALOGUE-ACC-0002.md`</w:t>
      </w:r>
    </w:p>
    <w:p>
      <w:pPr>
        <w:pStyle w:val="ListBullet"/>
      </w:pPr>
      <w:r>
        <w:t>`14_FAQ/ACC/FAQ-ACC-0009.md`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2026-06-29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JP" w:hAnsi="Noto Sans CJK JP" w:eastAsia="Noto Sans CJK JP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