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ACC_CASES_0007_0010 - 傷害保険ケーススタディ 0007-0010</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Consolidação do quarto lote ACC em pacote Markdown.</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ACC_CASES_0007_0010 - 傷害保険ケーススタディ 0007-0010</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請求期限、治療終了後の痛み、整骨院のみの通院、交通事故と第三者行為の整理に関するケーススタディ集。</w:t>
      </w:r>
    </w:p>
    <w:p/>
    <w:p>
      <w:pPr>
        <w:pStyle w:val="Heading2"/>
      </w:pPr>
      <w:r>
        <w:rPr>
          <w:rFonts w:ascii="Noto Sans CJK JP" w:hAnsi="Noto Sans CJK JP" w:eastAsia="Noto Sans CJK JP"/>
          <w:b/>
          <w:color w:val="2F5496"/>
          <w:sz w:val="28"/>
        </w:rPr>
        <w:t>Palavras-chave</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ブラジル人顧客</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Markdown</w:t>
      </w:r>
    </w:p>
    <w:p>
      <w:pPr>
        <w:pStyle w:val="ListBullet"/>
      </w:pPr>
      <w:r>
        <w:rPr>
          <w:rFonts w:ascii="Noto Sans CJK JP" w:hAnsi="Noto Sans CJK JP" w:eastAsia="Noto Sans CJK JP"/>
          <w:sz w:val="20"/>
        </w:rPr>
        <w:t>NotebookLM</w:t>
      </w:r>
    </w:p>
    <w:p/>
    <w:p>
      <w:pPr>
        <w:pStyle w:val="Heading2"/>
      </w:pPr>
      <w:r>
        <w:rPr>
          <w:rFonts w:ascii="Noto Sans CJK JP" w:hAnsi="Noto Sans CJK JP" w:eastAsia="Noto Sans CJK JP"/>
          <w:b/>
          <w:color w:val="2F5496"/>
          <w:sz w:val="28"/>
        </w:rPr>
        <w:t>Conteúdo</w:t>
      </w:r>
    </w:p>
    <w:p/>
    <w:p>
      <w:r>
        <w:br w:type="page"/>
      </w:r>
    </w:p>
    <w:p/>
    <w:p>
      <w:pPr>
        <w:pStyle w:val="Heading1"/>
      </w:pPr>
      <w:r>
        <w:rPr>
          <w:rFonts w:ascii="Noto Sans CJK JP" w:hAnsi="Noto Sans CJK JP" w:eastAsia="Noto Sans CJK JP"/>
          <w:b/>
          <w:color w:val="1F4E79"/>
          <w:sz w:val="36"/>
        </w:rPr>
        <w:t>CASE-ACC-0007 - 請求期限を過ぎた可能性がある事故相談</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quarto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CASE-ACC-0007</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事故から数か月経過した顧客が、まだ保険金請求できるか相談している。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顧客が「説明すれば大丈夫」と考え、契約上の期限、事故日、必要書類、保険会社への事故通知を確認していない。</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請求期限は契約条件、事故日、通知状況、書類提出状況で確認する。期限超過の可否を募集人が断定せず、保険会社へ確認する。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事故日、契約、通知履歴、治療書類、請求書類を確認し、保険会社へ照会する。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Existe um prazo para solicitar o benefício. Vamos confirmar a data do acidente, o contrato e a orientação da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エジスチ ウン プラゾ パラ ソリシタール オ ベネフィシオ。ヴァモス コンフィルマール ア ダタ ド アシデンチ、オ コントラト イ ア オリエンタサォン ダ セグラドーラ</w:t>
      </w:r>
    </w:p>
    <w:p/>
    <w:p>
      <w:r>
        <w:rPr>
          <w:rFonts w:ascii="Noto Sans CJK JP" w:hAnsi="Noto Sans CJK JP" w:eastAsia="Noto Sans CJK JP"/>
          <w:sz w:val="21"/>
        </w:rPr>
        <w:t>日本語確認用: 請求期限は事故日、契約、保険会社案内で確認する。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保険証券、事故日、治療書類、事故通知状況を確認する。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顧客が、手続きに必要な確認事項と断定できない範囲を理解する。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ACC-0014</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FAQ-ACC-0021</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DIALOGUE-ACC-0007</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FAQ-ACC-0021</w:t>
      </w:r>
    </w:p>
    <w:p>
      <w:pPr>
        <w:pStyle w:val="ListBullet"/>
      </w:pPr>
      <w:r>
        <w:rPr>
          <w:rFonts w:ascii="Noto Sans CJK JP" w:hAnsi="Noto Sans CJK JP" w:eastAsia="Noto Sans CJK JP"/>
          <w:sz w:val="20"/>
        </w:rPr>
        <w:t>DIALOGUE-ACC-0007</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`14_FAQ/ACC/FAQ-ACC-0021.md`</w:t>
      </w:r>
    </w:p>
    <w:p>
      <w:pPr>
        <w:pStyle w:val="ListBullet"/>
      </w:pPr>
      <w:r>
        <w:rPr>
          <w:rFonts w:ascii="Noto Sans CJK JP" w:hAnsi="Noto Sans CJK JP" w:eastAsia="Noto Sans CJK JP"/>
          <w:sz w:val="20"/>
        </w:rPr>
        <w:t>`13_Dialogues/ACC/DIALOGUE-ACC-0007.md`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CASE-ACC-0008 - 治療終了後の痛みと後遺障害相談</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quarto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CASE-ACC-0008</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治療終了後も痛みが残る顧客が、後遺障害で支払われるか相談している。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顧客が治療終了、症状固定、後遺障害該当性、通院保険金を混同している。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治療終了は請求整理の区切りであり、症状固定や後遺障害該当性は医師書類と契約基準で確認する。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治療期間、通院日数、医師書類、症状固定の有無、後遺障害基準を分けて確認する。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Vamos separar o fim do tratamento, a estabilização da condição e a possível sequela permanente.</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ヴァモス セパラール オ フィン ド トラタメント、ア エスタビリザサォン ダ コンジサォン イ ア ポシヴェウ セケーラ ペルマネンチ</w:t>
      </w:r>
    </w:p>
    <w:p/>
    <w:p>
      <w:r>
        <w:rPr>
          <w:rFonts w:ascii="Noto Sans CJK JP" w:hAnsi="Noto Sans CJK JP" w:eastAsia="Noto Sans CJK JP"/>
          <w:sz w:val="21"/>
        </w:rPr>
        <w:t>日本語確認用: 治療終了、症状固定、後遺障害を分ける。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診断書、治療終了日、通院日数、症状固定の医師判断を確認する。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顧客が、手続きに必要な確認事項と断定できない範囲を理解する。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ACC-0022</w:t>
      </w:r>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ACC-0013</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FAQ-ACC-0022</w:t>
      </w:r>
    </w:p>
    <w:p>
      <w:pPr>
        <w:pStyle w:val="ListBullet"/>
      </w:pPr>
      <w:r>
        <w:rPr>
          <w:rFonts w:ascii="Noto Sans CJK JP" w:hAnsi="Noto Sans CJK JP" w:eastAsia="Noto Sans CJK JP"/>
          <w:sz w:val="20"/>
        </w:rPr>
        <w:t>FAQ-ACC-0023</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DIALOGUE-ACC-0008</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ACC-0022</w:t>
      </w:r>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FAQ-ACC-0022</w:t>
      </w:r>
    </w:p>
    <w:p>
      <w:pPr>
        <w:pStyle w:val="ListBullet"/>
      </w:pPr>
      <w:r>
        <w:rPr>
          <w:rFonts w:ascii="Noto Sans CJK JP" w:hAnsi="Noto Sans CJK JP" w:eastAsia="Noto Sans CJK JP"/>
          <w:sz w:val="20"/>
        </w:rPr>
        <w:t>FAQ-ACC-0023</w:t>
      </w:r>
    </w:p>
    <w:p>
      <w:pPr>
        <w:pStyle w:val="ListBullet"/>
      </w:pPr>
      <w:r>
        <w:rPr>
          <w:rFonts w:ascii="Noto Sans CJK JP" w:hAnsi="Noto Sans CJK JP" w:eastAsia="Noto Sans CJK JP"/>
          <w:sz w:val="20"/>
        </w:rPr>
        <w:t>DIALOGUE-ACC-0008</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`14_FAQ/ACC/FAQ-ACC-0022.md`</w:t>
      </w:r>
    </w:p>
    <w:p>
      <w:pPr>
        <w:pStyle w:val="ListBullet"/>
      </w:pPr>
      <w:r>
        <w:rPr>
          <w:rFonts w:ascii="Noto Sans CJK JP" w:hAnsi="Noto Sans CJK JP" w:eastAsia="Noto Sans CJK JP"/>
          <w:sz w:val="20"/>
        </w:rPr>
        <w:t>`14_FAQ/ACC/FAQ-ACC-0023.md`</w:t>
      </w:r>
    </w:p>
    <w:p>
      <w:pPr>
        <w:pStyle w:val="ListBullet"/>
      </w:pPr>
      <w:r>
        <w:rPr>
          <w:rFonts w:ascii="Noto Sans CJK JP" w:hAnsi="Noto Sans CJK JP" w:eastAsia="Noto Sans CJK JP"/>
          <w:sz w:val="20"/>
        </w:rPr>
        <w:t>`13_Dialogues/ACC/DIALOGUE-ACC-0008.md`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CASE-ACC-0009 - 整骨院のみの通院と医師診断の不足</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quarto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CASE-ACC-0009</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顧客が病院に行かず整骨院だけで施術を受け、保険請求できるか相談している。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顧客が領収書だけで請求できると考え、医師診断や契約上の扱いを確認していない。</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整骨院の扱いは契約、医師診断、施術内容、領収書、保険会社査定で確認する。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領収書、施術内容、医師診断の有無、契約条件を確認し、不足書類を案内する。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Atendimento em clínica de tratamento corporal precisa ser confirmado com documentos, recibos e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アテンジメント エン クリニカ ジ トラタメント コルポラウ プレシザ セール コンフィルマード コン ドクメントス、ヘシーボス イ ヘグラス ド コントラト</w:t>
      </w:r>
    </w:p>
    <w:p/>
    <w:p>
      <w:r>
        <w:rPr>
          <w:rFonts w:ascii="Noto Sans CJK JP" w:hAnsi="Noto Sans CJK JP" w:eastAsia="Noto Sans CJK JP"/>
          <w:sz w:val="21"/>
        </w:rPr>
        <w:t>日本語確認用: 整骨院は契約、領収書、医師診断で確認する。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領収書、施術内容、医師診断書、保険会社指定書類を確認する。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顧客が、手続きに必要な確認事項と断定できない範囲を理解する。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ACC-0024</w:t>
      </w:r>
    </w:p>
    <w:p>
      <w:pPr>
        <w:pStyle w:val="ListBullet"/>
      </w:pPr>
      <w:r>
        <w:rPr>
          <w:rFonts w:ascii="Noto Sans CJK JP" w:hAnsi="Noto Sans CJK JP" w:eastAsia="Noto Sans CJK JP"/>
          <w:sz w:val="20"/>
        </w:rPr>
        <w:t>ACC-0025</w:t>
      </w:r>
    </w:p>
    <w:p>
      <w:pPr>
        <w:pStyle w:val="ListBullet"/>
      </w:pPr>
      <w:r>
        <w:rPr>
          <w:rFonts w:ascii="Noto Sans CJK JP" w:hAnsi="Noto Sans CJK JP" w:eastAsia="Noto Sans CJK JP"/>
          <w:sz w:val="20"/>
        </w:rPr>
        <w:t>ACC-0016</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FAQ-ACC-0024</w:t>
      </w:r>
    </w:p>
    <w:p>
      <w:pPr>
        <w:pStyle w:val="ListBullet"/>
      </w:pPr>
      <w:r>
        <w:rPr>
          <w:rFonts w:ascii="Noto Sans CJK JP" w:hAnsi="Noto Sans CJK JP" w:eastAsia="Noto Sans CJK JP"/>
          <w:sz w:val="20"/>
        </w:rPr>
        <w:t>FAQ-ACC-0025</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DIALOGUE-ACC-0009</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ACC-0024</w:t>
      </w:r>
    </w:p>
    <w:p>
      <w:pPr>
        <w:pStyle w:val="ListBullet"/>
      </w:pPr>
      <w:r>
        <w:rPr>
          <w:rFonts w:ascii="Noto Sans CJK JP" w:hAnsi="Noto Sans CJK JP" w:eastAsia="Noto Sans CJK JP"/>
          <w:sz w:val="20"/>
        </w:rPr>
        <w:t>ACC-0025</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FAQ-ACC-0024</w:t>
      </w:r>
    </w:p>
    <w:p>
      <w:pPr>
        <w:pStyle w:val="ListBullet"/>
      </w:pPr>
      <w:r>
        <w:rPr>
          <w:rFonts w:ascii="Noto Sans CJK JP" w:hAnsi="Noto Sans CJK JP" w:eastAsia="Noto Sans CJK JP"/>
          <w:sz w:val="20"/>
        </w:rPr>
        <w:t>FAQ-ACC-0025</w:t>
      </w:r>
    </w:p>
    <w:p>
      <w:pPr>
        <w:pStyle w:val="ListBullet"/>
      </w:pPr>
      <w:r>
        <w:rPr>
          <w:rFonts w:ascii="Noto Sans CJK JP" w:hAnsi="Noto Sans CJK JP" w:eastAsia="Noto Sans CJK JP"/>
          <w:sz w:val="20"/>
        </w:rPr>
        <w:t>DIALOGUE-ACC-0009</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`14_FAQ/ACC/FAQ-ACC-0024.md`</w:t>
      </w:r>
    </w:p>
    <w:p>
      <w:pPr>
        <w:pStyle w:val="ListBullet"/>
      </w:pPr>
      <w:r>
        <w:rPr>
          <w:rFonts w:ascii="Noto Sans CJK JP" w:hAnsi="Noto Sans CJK JP" w:eastAsia="Noto Sans CJK JP"/>
          <w:sz w:val="20"/>
        </w:rPr>
        <w:t>`14_FAQ/ACC/FAQ-ACC-0025.md`</w:t>
      </w:r>
    </w:p>
    <w:p>
      <w:pPr>
        <w:pStyle w:val="ListBullet"/>
      </w:pPr>
      <w:r>
        <w:rPr>
          <w:rFonts w:ascii="Noto Sans CJK JP" w:hAnsi="Noto Sans CJK JP" w:eastAsia="Noto Sans CJK JP"/>
          <w:sz w:val="20"/>
        </w:rPr>
        <w:t>`13_Dialogues/ACC/DIALOGUE-ACC-0009.md`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CASE-ACC-0010 - 交通事故と第三者行為の保険整理</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quarto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CASE-ACC-0010</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相手方がいる交通事故で、顧客が自動車保険と傷害保険の両方を相談している。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顧客が相手方の過失だけで傷害保険の支払いが決まると考えている。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交通事故では自動車保険、傷害保険、交通事故証明書、第三者行為、健康保険、公的制度を分けて確認する。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事故証明、相手方情報、自動車保険、傷害保険契約、治療書類を整理して確認する。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Precisamos separar seguro auto, seguro de acidentes pessoais, certificado do acidente e dados da outra parte.</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プレシザモス セパラール セグーロ アウト、セグーロ ジ アシデンチス ペソアイス、セルチフィカード ド アシデンチ イ ダドス ダ オウトラ パルチ</w:t>
      </w:r>
    </w:p>
    <w:p/>
    <w:p>
      <w:r>
        <w:rPr>
          <w:rFonts w:ascii="Noto Sans CJK JP" w:hAnsi="Noto Sans CJK JP" w:eastAsia="Noto Sans CJK JP"/>
          <w:sz w:val="21"/>
        </w:rPr>
        <w:t>日本語確認用: 交通事故では保険種類、証明書、相手方を分けて確認する。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交通事故証明書、相手方情報、治療書類、自動車保険と傷害保険の契約を確認する。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募集人は支払可否、支払金額、支払時期、補償、後遺障害該当性、対象該当性、免責該当性を断定しない。最終判断は契約条件、事故状況、提出書類、公的制度および保険会社の査定による。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顧客が、手続きに必要な確認事項と断定できない範囲を理解する。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ACC-0027</w:t>
      </w:r>
    </w:p>
    <w:p>
      <w:pPr>
        <w:pStyle w:val="ListBullet"/>
      </w:pPr>
      <w:r>
        <w:rPr>
          <w:rFonts w:ascii="Noto Sans CJK JP" w:hAnsi="Noto Sans CJK JP" w:eastAsia="Noto Sans CJK JP"/>
          <w:sz w:val="20"/>
        </w:rPr>
        <w:t>ACC-0020</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FAQ-ACC-0026</w:t>
      </w:r>
    </w:p>
    <w:p>
      <w:pPr>
        <w:pStyle w:val="ListBullet"/>
      </w:pPr>
      <w:r>
        <w:rPr>
          <w:rFonts w:ascii="Noto Sans CJK JP" w:hAnsi="Noto Sans CJK JP" w:eastAsia="Noto Sans CJK JP"/>
          <w:sz w:val="20"/>
        </w:rPr>
        <w:t>FAQ-ACC-0027</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DIALOGUE-ACC-0010</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ACC-0027</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FAQ-ACC-0026</w:t>
      </w:r>
    </w:p>
    <w:p>
      <w:pPr>
        <w:pStyle w:val="ListBullet"/>
      </w:pPr>
      <w:r>
        <w:rPr>
          <w:rFonts w:ascii="Noto Sans CJK JP" w:hAnsi="Noto Sans CJK JP" w:eastAsia="Noto Sans CJK JP"/>
          <w:sz w:val="20"/>
        </w:rPr>
        <w:t>FAQ-ACC-0027</w:t>
      </w:r>
    </w:p>
    <w:p>
      <w:pPr>
        <w:pStyle w:val="ListBullet"/>
      </w:pPr>
      <w:r>
        <w:rPr>
          <w:rFonts w:ascii="Noto Sans CJK JP" w:hAnsi="Noto Sans CJK JP" w:eastAsia="Noto Sans CJK JP"/>
          <w:sz w:val="20"/>
        </w:rPr>
        <w:t>DIALOGUE-ACC-0010</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`14_FAQ/ACC/FAQ-ACC-0026.md`</w:t>
      </w:r>
    </w:p>
    <w:p>
      <w:pPr>
        <w:pStyle w:val="ListBullet"/>
      </w:pPr>
      <w:r>
        <w:rPr>
          <w:rFonts w:ascii="Noto Sans CJK JP" w:hAnsi="Noto Sans CJK JP" w:eastAsia="Noto Sans CJK JP"/>
          <w:sz w:val="20"/>
        </w:rPr>
        <w:t>`14_FAQ/ACC/FAQ-ACC-0027.md`</w:t>
      </w:r>
    </w:p>
    <w:p>
      <w:pPr>
        <w:pStyle w:val="ListBullet"/>
      </w:pPr>
      <w:r>
        <w:rPr>
          <w:rFonts w:ascii="Noto Sans CJK JP" w:hAnsi="Noto Sans CJK JP" w:eastAsia="Noto Sans CJK JP"/>
          <w:sz w:val="20"/>
        </w:rPr>
        <w:t>`13_Dialogues/ACC/DIALOGUE-ACC-0010.md`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`15_CaseStudies/ACC/CASE-ACC-0007.md`</w:t>
      </w:r>
    </w:p>
    <w:p>
      <w:pPr>
        <w:pStyle w:val="ListBullet"/>
      </w:pPr>
      <w:r>
        <w:rPr>
          <w:rFonts w:ascii="Noto Sans CJK JP" w:hAnsi="Noto Sans CJK JP" w:eastAsia="Noto Sans CJK JP"/>
          <w:sz w:val="20"/>
        </w:rPr>
        <w:t>`15_CaseStudies/ACC/CASE-ACC-0008.md`</w:t>
      </w:r>
    </w:p>
    <w:p>
      <w:pPr>
        <w:pStyle w:val="ListBullet"/>
      </w:pPr>
      <w:r>
        <w:rPr>
          <w:rFonts w:ascii="Noto Sans CJK JP" w:hAnsi="Noto Sans CJK JP" w:eastAsia="Noto Sans CJK JP"/>
          <w:sz w:val="20"/>
        </w:rPr>
        <w:t>`15_CaseStudies/ACC/CASE-ACC-0009.md`</w:t>
      </w:r>
    </w:p>
    <w:p>
      <w:pPr>
        <w:pStyle w:val="ListBullet"/>
      </w:pPr>
      <w:r>
        <w:rPr>
          <w:rFonts w:ascii="Noto Sans CJK JP" w:hAnsi="Noto Sans CJK JP" w:eastAsia="Noto Sans CJK JP"/>
          <w:sz w:val="20"/>
        </w:rPr>
        <w:t>`15_CaseStudies/ACC/CASE-ACC-0010.md`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`10_Accident/ACC_NAVIGATION_GUIDE.md`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