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MED_DIALOGUES_0006_0010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Heading1"/>
      </w:pPr>
      <w:r>
        <w:t>DIALOGUE-MED-0006 - Solicitação de benefício e documentos médicos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Normalização bilíngue para uso por corretor japonês no NotebookLM.</w:t>
      </w:r>
    </w:p>
    <w:p>
      <w:pPr>
        <w:pStyle w:val="Heading2"/>
      </w:pPr>
      <w:r>
        <w:t>Código</w:t>
      </w:r>
    </w:p>
    <w:p>
      <w:r>
        <w:t>DIALOGUE-MED-0006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recebeu atendimento médico e quer iniciar a solicitação de benefício.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o fluxo inicial de solicitação, atestado médico, recibo e detalhamento de atendimento.</w:t>
      </w:r>
    </w:p>
    <w:p>
      <w:pPr>
        <w:pStyle w:val="Heading2"/>
      </w:pPr>
      <w:r>
        <w:t>Versão em japonês</w:t>
      </w:r>
    </w:p>
    <w:p>
      <w:r>
        <w:t>**Corretor:** 給付金請求には、保険会社が指定する書類が必要です。</w:t>
      </w:r>
    </w:p>
    <w:p>
      <w:r>
        <w:t>**Cliente:** それはポルトガル語でお客様にどう説明すればよいですか。</w:t>
      </w:r>
    </w:p>
    <w:p>
      <w:r>
        <w:t>**Corretor:** 診断書、領収書、診療明細書を確認しましょう。</w:t>
      </w:r>
    </w:p>
    <w:p>
      <w:r>
        <w:t>**Cliente:** 支払いを約束してもよいですか。</w:t>
      </w:r>
    </w:p>
    <w:p>
      <w:r>
        <w:t>**Corretor:** 書類に不足があると査定が止まる場合があります。</w:t>
      </w:r>
    </w:p>
    <w:p>
      <w:pPr>
        <w:pStyle w:val="Heading2"/>
      </w:pPr>
      <w:r>
        <w:t>Versão em português brasileiro</w:t>
      </w:r>
    </w:p>
    <w:p>
      <w:r>
        <w:t>**Corretor:** Para pedir o benefício, precisamos seguir a lista de documentos da seguradora.</w:t>
      </w:r>
    </w:p>
    <w:p>
      <w:r>
        <w:t>**Cliente:** Então isso já garante o pagamento?</w:t>
      </w:r>
    </w:p>
    <w:p>
      <w:r>
        <w:t>**Corretor:** Vamos conferir atestado médico, recibo e detalhamento do atendimento.</w:t>
      </w:r>
    </w:p>
    <w:p>
      <w:r>
        <w:t>**Cliente:** O que eu preciso fazer agora?</w:t>
      </w:r>
    </w:p>
    <w:p>
      <w:r>
        <w:t>**Corretor:** Se faltar documento, a análise pode ficar parada até a correção.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documentos e condições antes de orientar o cliente.</w:t>
      </w:r>
    </w:p>
    <w:p>
      <w:pPr>
        <w:pStyle w:val="ListBullet"/>
      </w:pPr>
      <w:r>
        <w:t>Não prometer aceitação, cobertura ou pagamento antes da análise da seguradora.</w:t>
      </w:r>
    </w:p>
    <w:p>
      <w:pPr>
        <w:pStyle w:val="ListBullet"/>
      </w:pPr>
      <w:r>
        <w:t>Usar português simples e evitar tradução literal quando prejudicar a compreensão.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Registrar a dúvida principal do cliente.</w:t>
      </w:r>
    </w:p>
    <w:p>
      <w:pPr>
        <w:pStyle w:val="ListBullet"/>
      </w:pPr>
      <w:r>
        <w:t>Separar explicação comercial de decisão formal da seguradora.</w:t>
      </w:r>
    </w:p>
    <w:p>
      <w:pPr>
        <w:pStyle w:val="ListBullet"/>
      </w:pPr>
      <w:r>
        <w:t>Apontar os verbetes e FAQs relacionados quando houver dúvida técnica.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MED-0021</w:t>
      </w:r>
    </w:p>
    <w:p>
      <w:pPr>
        <w:pStyle w:val="ListBullet"/>
      </w:pPr>
      <w:r>
        <w:t>MED-0022</w:t>
      </w:r>
    </w:p>
    <w:p>
      <w:pPr>
        <w:pStyle w:val="ListBullet"/>
      </w:pPr>
      <w:r>
        <w:t>MED-0023</w:t>
      </w:r>
    </w:p>
    <w:p>
      <w:pPr>
        <w:pStyle w:val="ListBullet"/>
      </w:pPr>
      <w:r>
        <w:t>MED-0024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FAQ-MED-0021</w:t>
      </w:r>
    </w:p>
    <w:p>
      <w:pPr>
        <w:pStyle w:val="ListBullet"/>
      </w:pPr>
      <w:r>
        <w:t>FAQ-MED-0022</w:t>
      </w:r>
    </w:p>
    <w:p>
      <w:pPr>
        <w:pStyle w:val="ListBullet"/>
      </w:pPr>
      <w:r>
        <w:t>FAQ-MED-0023</w:t>
      </w:r>
    </w:p>
    <w:p>
      <w:pPr>
        <w:pStyle w:val="ListBullet"/>
      </w:pPr>
      <w:r>
        <w:t>FAQ-MED-0024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CASE-MED-0009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MED-0021</w:t>
      </w:r>
    </w:p>
    <w:p>
      <w:pPr>
        <w:pStyle w:val="ListBullet"/>
      </w:pPr>
      <w:r>
        <w:t>MED-0022</w:t>
      </w:r>
    </w:p>
    <w:p>
      <w:pPr>
        <w:pStyle w:val="ListBullet"/>
      </w:pPr>
      <w:r>
        <w:t>MED-0023</w:t>
      </w:r>
    </w:p>
    <w:p>
      <w:pPr>
        <w:pStyle w:val="ListBullet"/>
      </w:pPr>
      <w:r>
        <w:t>MED-0024</w:t>
      </w:r>
    </w:p>
    <w:p>
      <w:pPr>
        <w:pStyle w:val="ListBullet"/>
      </w:pPr>
      <w:r>
        <w:t>FAQ-MED-0021</w:t>
      </w:r>
    </w:p>
    <w:p>
      <w:pPr>
        <w:pStyle w:val="ListBullet"/>
      </w:pPr>
      <w:r>
        <w:t>FAQ-MED-0022</w:t>
      </w:r>
    </w:p>
    <w:p>
      <w:pPr>
        <w:pStyle w:val="ListBullet"/>
      </w:pPr>
      <w:r>
        <w:t>FAQ-MED-0023</w:t>
      </w:r>
    </w:p>
    <w:p>
      <w:pPr>
        <w:pStyle w:val="ListBullet"/>
      </w:pPr>
      <w:r>
        <w:t>FAQ-MED-0024</w:t>
      </w:r>
    </w:p>
    <w:p>
      <w:pPr>
        <w:pStyle w:val="ListBullet"/>
      </w:pPr>
      <w:r>
        <w:t>CASE-MED-0009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atendimento-bilingue</w:t>
      </w:r>
    </w:p>
    <w:p>
      <w:pPr>
        <w:pStyle w:val="ListBullet"/>
      </w:pPr>
      <w:r>
        <w:t>notebooklm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`15_CaseStudies/MED/CASE-MED-0009.md`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Normalização bilíngue com versão japonesa e portuguesa.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DIALOGUE-MED-0007 - Comprovantes de internação, cirurgia, alta e tratamento ambulatorial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Normalização bilíngue para uso por corretor japonês no NotebookLM.</w:t>
      </w:r>
    </w:p>
    <w:p>
      <w:pPr>
        <w:pStyle w:val="Heading2"/>
      </w:pPr>
      <w:r>
        <w:t>Código</w:t>
      </w:r>
    </w:p>
    <w:p>
      <w:r>
        <w:t>DIALOGUE-MED-0007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terminou atendimento hospitalar e precisa comprovar internação, cirurgia ou tratamento ambulatorial.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Orientar quais comprovantes confirmam datas, tipo de atendimento e base de cálculo do benefício.</w:t>
      </w:r>
    </w:p>
    <w:p>
      <w:pPr>
        <w:pStyle w:val="Heading2"/>
      </w:pPr>
      <w:r>
        <w:t>Versão em japonês</w:t>
      </w:r>
    </w:p>
    <w:p>
      <w:r>
        <w:t>**Corretor:** 入院日、退院日、手術日を正確に確認します。</w:t>
      </w:r>
    </w:p>
    <w:p>
      <w:r>
        <w:t>**Cliente:** それはポルトガル語でお客様にどう説明すればよいですか。</w:t>
      </w:r>
    </w:p>
    <w:p>
      <w:r>
        <w:t>**Corretor:** 手術証明書があると、手術給付金の査定がしやすくなります。</w:t>
      </w:r>
    </w:p>
    <w:p>
      <w:r>
        <w:t>**Cliente:** 支払いを約束してもよいですか。</w:t>
      </w:r>
    </w:p>
    <w:p>
      <w:r>
        <w:t>**Corretor:** 通院保障がある場合は、通院日も証明する必要があります。</w:t>
      </w:r>
    </w:p>
    <w:p>
      <w:pPr>
        <w:pStyle w:val="Heading2"/>
      </w:pPr>
      <w:r>
        <w:t>Versão em português brasileiro</w:t>
      </w:r>
    </w:p>
    <w:p>
      <w:r>
        <w:t>**Corretor:** Precisamos confirmar a data de internação, alta e cirurgia.</w:t>
      </w:r>
    </w:p>
    <w:p>
      <w:r>
        <w:t>**Cliente:** Então isso já garante o pagamento?</w:t>
      </w:r>
    </w:p>
    <w:p>
      <w:r>
        <w:t>**Corretor:** O comprovante de cirurgia ajuda a seguradora a analisar o benefício.</w:t>
      </w:r>
    </w:p>
    <w:p>
      <w:r>
        <w:t>**Cliente:** O que eu preciso fazer agora?</w:t>
      </w:r>
    </w:p>
    <w:p>
      <w:r>
        <w:t>**Corretor:** Se houver cobertura ambulatorial, também precisamos comprovar as datas de tratamento.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documentos e condições antes de orientar o cliente.</w:t>
      </w:r>
    </w:p>
    <w:p>
      <w:pPr>
        <w:pStyle w:val="ListBullet"/>
      </w:pPr>
      <w:r>
        <w:t>Não prometer aceitação, cobertura ou pagamento antes da análise da seguradora.</w:t>
      </w:r>
    </w:p>
    <w:p>
      <w:pPr>
        <w:pStyle w:val="ListBullet"/>
      </w:pPr>
      <w:r>
        <w:t>Usar português simples e evitar tradução literal quando prejudicar a compreensão.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Registrar a dúvida principal do cliente.</w:t>
      </w:r>
    </w:p>
    <w:p>
      <w:pPr>
        <w:pStyle w:val="ListBullet"/>
      </w:pPr>
      <w:r>
        <w:t>Separar explicação comercial de decisão formal da seguradora.</w:t>
      </w:r>
    </w:p>
    <w:p>
      <w:pPr>
        <w:pStyle w:val="ListBullet"/>
      </w:pPr>
      <w:r>
        <w:t>Apontar os verbetes e FAQs relacionados quando houver dúvida técnica.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MED-0025</w:t>
      </w:r>
    </w:p>
    <w:p>
      <w:pPr>
        <w:pStyle w:val="ListBullet"/>
      </w:pPr>
      <w:r>
        <w:t>MED-0026</w:t>
      </w:r>
    </w:p>
    <w:p>
      <w:pPr>
        <w:pStyle w:val="ListBullet"/>
      </w:pPr>
      <w:r>
        <w:t>MED-0027</w:t>
      </w:r>
    </w:p>
    <w:p>
      <w:pPr>
        <w:pStyle w:val="ListBullet"/>
      </w:pPr>
      <w:r>
        <w:t>MED-0028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FAQ-MED-0025</w:t>
      </w:r>
    </w:p>
    <w:p>
      <w:pPr>
        <w:pStyle w:val="ListBullet"/>
      </w:pPr>
      <w:r>
        <w:t>FAQ-MED-0026</w:t>
      </w:r>
    </w:p>
    <w:p>
      <w:pPr>
        <w:pStyle w:val="ListBullet"/>
      </w:pPr>
      <w:r>
        <w:t>FAQ-MED-0027</w:t>
      </w:r>
    </w:p>
    <w:p>
      <w:pPr>
        <w:pStyle w:val="ListBullet"/>
      </w:pPr>
      <w:r>
        <w:t>FAQ-MED-0028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CASE-MED-0012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MED-0025</w:t>
      </w:r>
    </w:p>
    <w:p>
      <w:pPr>
        <w:pStyle w:val="ListBullet"/>
      </w:pPr>
      <w:r>
        <w:t>MED-0026</w:t>
      </w:r>
    </w:p>
    <w:p>
      <w:pPr>
        <w:pStyle w:val="ListBullet"/>
      </w:pPr>
      <w:r>
        <w:t>MED-0027</w:t>
      </w:r>
    </w:p>
    <w:p>
      <w:pPr>
        <w:pStyle w:val="ListBullet"/>
      </w:pPr>
      <w:r>
        <w:t>MED-0028</w:t>
      </w:r>
    </w:p>
    <w:p>
      <w:pPr>
        <w:pStyle w:val="ListBullet"/>
      </w:pPr>
      <w:r>
        <w:t>FAQ-MED-0025</w:t>
      </w:r>
    </w:p>
    <w:p>
      <w:pPr>
        <w:pStyle w:val="ListBullet"/>
      </w:pPr>
      <w:r>
        <w:t>FAQ-MED-0026</w:t>
      </w:r>
    </w:p>
    <w:p>
      <w:pPr>
        <w:pStyle w:val="ListBullet"/>
      </w:pPr>
      <w:r>
        <w:t>FAQ-MED-0027</w:t>
      </w:r>
    </w:p>
    <w:p>
      <w:pPr>
        <w:pStyle w:val="ListBullet"/>
      </w:pPr>
      <w:r>
        <w:t>FAQ-MED-0028</w:t>
      </w:r>
    </w:p>
    <w:p>
      <w:pPr>
        <w:pStyle w:val="ListBullet"/>
      </w:pPr>
      <w:r>
        <w:t>CASE-MED-0012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atendimento-bilingue</w:t>
      </w:r>
    </w:p>
    <w:p>
      <w:pPr>
        <w:pStyle w:val="ListBullet"/>
      </w:pPr>
      <w:r>
        <w:t>notebooklm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`15_CaseStudies/MED/CASE-MED-0012.md`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Normalização bilíngue com versão japonesa e portuguesa.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DIALOGUE-MED-0008 - Prazo, documentos necessários, identificação e dados bancários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Normalização bilíngue para uso por corretor japonês no NotebookLM.</w:t>
      </w:r>
    </w:p>
    <w:p>
      <w:pPr>
        <w:pStyle w:val="Heading2"/>
      </w:pPr>
      <w:r>
        <w:t>Código</w:t>
      </w:r>
    </w:p>
    <w:p>
      <w:r>
        <w:t>DIALOGUE-MED-0008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quer evitar atraso no pedido de benefício médico.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prazo, documentos necessários, identificação e dados bancários antes do envio.</w:t>
      </w:r>
    </w:p>
    <w:p>
      <w:pPr>
        <w:pStyle w:val="Heading2"/>
      </w:pPr>
      <w:r>
        <w:t>Versão em japonês</w:t>
      </w:r>
    </w:p>
    <w:p>
      <w:r>
        <w:t>**Corretor:** 請求期限を過ぎないように早めに準備しましょう。</w:t>
      </w:r>
    </w:p>
    <w:p>
      <w:r>
        <w:t>**Cliente:** それはポルトガル語でお客様にどう説明すればよいですか。</w:t>
      </w:r>
    </w:p>
    <w:p>
      <w:r>
        <w:t>**Corretor:** 本人確認書類と口座情報は、支払い手続きに必要です。</w:t>
      </w:r>
    </w:p>
    <w:p>
      <w:r>
        <w:t>**Cliente:** 支払いを約束してもよいですか。</w:t>
      </w:r>
    </w:p>
    <w:p>
      <w:r>
        <w:t>**Corretor:** 口座情報に誤りがあると、入金が遅れることがあります。</w:t>
      </w:r>
    </w:p>
    <w:p>
      <w:pPr>
        <w:pStyle w:val="Heading2"/>
      </w:pPr>
      <w:r>
        <w:t>Versão em português brasileiro</w:t>
      </w:r>
    </w:p>
    <w:p>
      <w:r>
        <w:t>**Corretor:** Vamos preparar tudo com antecedência para não perder prazo.</w:t>
      </w:r>
    </w:p>
    <w:p>
      <w:r>
        <w:t>**Cliente:** Então isso já garante o pagamento?</w:t>
      </w:r>
    </w:p>
    <w:p>
      <w:r>
        <w:t>**Corretor:** Documento de identificação e dados bancários são necessários para o pagamento.</w:t>
      </w:r>
    </w:p>
    <w:p>
      <w:r>
        <w:t>**Cliente:** O que eu preciso fazer agora?</w:t>
      </w:r>
    </w:p>
    <w:p>
      <w:r>
        <w:t>**Corretor:** Se a conta estiver errada, o depósito pode atrasar ou voltar.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documentos e condições antes de orientar o cliente.</w:t>
      </w:r>
    </w:p>
    <w:p>
      <w:pPr>
        <w:pStyle w:val="ListBullet"/>
      </w:pPr>
      <w:r>
        <w:t>Não prometer aceitação, cobertura ou pagamento antes da análise da seguradora.</w:t>
      </w:r>
    </w:p>
    <w:p>
      <w:pPr>
        <w:pStyle w:val="ListBullet"/>
      </w:pPr>
      <w:r>
        <w:t>Usar português simples e evitar tradução literal quando prejudicar a compreensão.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Registrar a dúvida principal do cliente.</w:t>
      </w:r>
    </w:p>
    <w:p>
      <w:pPr>
        <w:pStyle w:val="ListBullet"/>
      </w:pPr>
      <w:r>
        <w:t>Separar explicação comercial de decisão formal da seguradora.</w:t>
      </w:r>
    </w:p>
    <w:p>
      <w:pPr>
        <w:pStyle w:val="ListBullet"/>
      </w:pPr>
      <w:r>
        <w:t>Apontar os verbetes e FAQs relacionados quando houver dúvida técnica.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MED-0029</w:t>
      </w:r>
    </w:p>
    <w:p>
      <w:pPr>
        <w:pStyle w:val="ListBullet"/>
      </w:pPr>
      <w:r>
        <w:t>MED-0030</w:t>
      </w:r>
    </w:p>
    <w:p>
      <w:pPr>
        <w:pStyle w:val="ListBullet"/>
      </w:pPr>
      <w:r>
        <w:t>MED-0031</w:t>
      </w:r>
    </w:p>
    <w:p>
      <w:pPr>
        <w:pStyle w:val="ListBullet"/>
      </w:pPr>
      <w:r>
        <w:t>MED-0032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FAQ-MED-0029</w:t>
      </w:r>
    </w:p>
    <w:p>
      <w:pPr>
        <w:pStyle w:val="ListBullet"/>
      </w:pPr>
      <w:r>
        <w:t>FAQ-MED-0030</w:t>
      </w:r>
    </w:p>
    <w:p>
      <w:pPr>
        <w:pStyle w:val="ListBullet"/>
      </w:pPr>
      <w:r>
        <w:t>FAQ-MED-0031</w:t>
      </w:r>
    </w:p>
    <w:p>
      <w:pPr>
        <w:pStyle w:val="ListBullet"/>
      </w:pPr>
      <w:r>
        <w:t>FAQ-MED-0032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CASE-MED-0013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MED-0029</w:t>
      </w:r>
    </w:p>
    <w:p>
      <w:pPr>
        <w:pStyle w:val="ListBullet"/>
      </w:pPr>
      <w:r>
        <w:t>MED-0030</w:t>
      </w:r>
    </w:p>
    <w:p>
      <w:pPr>
        <w:pStyle w:val="ListBullet"/>
      </w:pPr>
      <w:r>
        <w:t>MED-0031</w:t>
      </w:r>
    </w:p>
    <w:p>
      <w:pPr>
        <w:pStyle w:val="ListBullet"/>
      </w:pPr>
      <w:r>
        <w:t>MED-0032</w:t>
      </w:r>
    </w:p>
    <w:p>
      <w:pPr>
        <w:pStyle w:val="ListBullet"/>
      </w:pPr>
      <w:r>
        <w:t>FAQ-MED-0029</w:t>
      </w:r>
    </w:p>
    <w:p>
      <w:pPr>
        <w:pStyle w:val="ListBullet"/>
      </w:pPr>
      <w:r>
        <w:t>FAQ-MED-0030</w:t>
      </w:r>
    </w:p>
    <w:p>
      <w:pPr>
        <w:pStyle w:val="ListBullet"/>
      </w:pPr>
      <w:r>
        <w:t>FAQ-MED-0031</w:t>
      </w:r>
    </w:p>
    <w:p>
      <w:pPr>
        <w:pStyle w:val="ListBullet"/>
      </w:pPr>
      <w:r>
        <w:t>FAQ-MED-0032</w:t>
      </w:r>
    </w:p>
    <w:p>
      <w:pPr>
        <w:pStyle w:val="ListBullet"/>
      </w:pPr>
      <w:r>
        <w:t>CASE-MED-0013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atendimento-bilingue</w:t>
      </w:r>
    </w:p>
    <w:p>
      <w:pPr>
        <w:pStyle w:val="ListBullet"/>
      </w:pPr>
      <w:r>
        <w:t>notebooklm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`15_CaseStudies/MED/CASE-MED-0013.md`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Normalização bilíngue com versão japonesa e portuguesa.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DIALOGUE-MED-0009 - Análise de pagamento, pendência e documento complementar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Normalização bilíngue para uso por corretor japonês no NotebookLM.</w:t>
      </w:r>
    </w:p>
    <w:p>
      <w:pPr>
        <w:pStyle w:val="Heading2"/>
      </w:pPr>
      <w:r>
        <w:t>Código</w:t>
      </w:r>
    </w:p>
    <w:p>
      <w:r>
        <w:t>DIALOGUE-MED-0009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enviou documentos e aguarda resposta da seguradora ou recebeu pedido de correção.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que a seguradora analisa o pagamento e pode pedir documentos adicionais.</w:t>
      </w:r>
    </w:p>
    <w:p>
      <w:pPr>
        <w:pStyle w:val="Heading2"/>
      </w:pPr>
      <w:r>
        <w:t>Versão em japonês</w:t>
      </w:r>
    </w:p>
    <w:p>
      <w:r>
        <w:t>**Corretor:** 支払査定は保険会社が契約内容と書類を確認する手続きです。</w:t>
      </w:r>
    </w:p>
    <w:p>
      <w:r>
        <w:t>**Cliente:** それはポルトガル語でお客様にどう説明すればよいですか。</w:t>
      </w:r>
    </w:p>
    <w:p>
      <w:r>
        <w:t>**Corretor:** 不備がある場合は、追加書類の提出が必要です。</w:t>
      </w:r>
    </w:p>
    <w:p>
      <w:r>
        <w:t>**Cliente:** 支払いを約束してもよいですか。</w:t>
      </w:r>
    </w:p>
    <w:p>
      <w:r>
        <w:t>**Corretor:** 支払通知が出たら、金額と入金予定日を確認します。</w:t>
      </w:r>
    </w:p>
    <w:p>
      <w:pPr>
        <w:pStyle w:val="Heading2"/>
      </w:pPr>
      <w:r>
        <w:t>Versão em português brasileiro</w:t>
      </w:r>
    </w:p>
    <w:p>
      <w:r>
        <w:t>**Corretor:** A análise de pagamento é feita pela seguradora com base no contrato e nos documentos.</w:t>
      </w:r>
    </w:p>
    <w:p>
      <w:r>
        <w:t>**Cliente:** Então isso já garante o pagamento?</w:t>
      </w:r>
    </w:p>
    <w:p>
      <w:r>
        <w:t>**Corretor:** Se houver pendência, precisamos enviar o documento complementar.</w:t>
      </w:r>
    </w:p>
    <w:p>
      <w:r>
        <w:t>**Cliente:** O que eu preciso fazer agora?</w:t>
      </w:r>
    </w:p>
    <w:p>
      <w:r>
        <w:t>**Corretor:** Quando sair o aviso de pagamento, vamos conferir valor e data prevista de depósito.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documentos e condições antes de orientar o cliente.</w:t>
      </w:r>
    </w:p>
    <w:p>
      <w:pPr>
        <w:pStyle w:val="ListBullet"/>
      </w:pPr>
      <w:r>
        <w:t>Não prometer aceitação, cobertura ou pagamento antes da análise da seguradora.</w:t>
      </w:r>
    </w:p>
    <w:p>
      <w:pPr>
        <w:pStyle w:val="ListBullet"/>
      </w:pPr>
      <w:r>
        <w:t>Usar português simples e evitar tradução literal quando prejudicar a compreensão.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Registrar a dúvida principal do cliente.</w:t>
      </w:r>
    </w:p>
    <w:p>
      <w:pPr>
        <w:pStyle w:val="ListBullet"/>
      </w:pPr>
      <w:r>
        <w:t>Separar explicação comercial de decisão formal da seguradora.</w:t>
      </w:r>
    </w:p>
    <w:p>
      <w:pPr>
        <w:pStyle w:val="ListBullet"/>
      </w:pPr>
      <w:r>
        <w:t>Apontar os verbetes e FAQs relacionados quando houver dúvida técnica.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MED-0033</w:t>
      </w:r>
    </w:p>
    <w:p>
      <w:pPr>
        <w:pStyle w:val="ListBullet"/>
      </w:pPr>
      <w:r>
        <w:t>MED-0034</w:t>
      </w:r>
    </w:p>
    <w:p>
      <w:pPr>
        <w:pStyle w:val="ListBullet"/>
      </w:pPr>
      <w:r>
        <w:t>MED-0035</w:t>
      </w:r>
    </w:p>
    <w:p>
      <w:pPr>
        <w:pStyle w:val="ListBullet"/>
      </w:pPr>
      <w:r>
        <w:t>MED-0036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FAQ-MED-0033</w:t>
      </w:r>
    </w:p>
    <w:p>
      <w:pPr>
        <w:pStyle w:val="ListBullet"/>
      </w:pPr>
      <w:r>
        <w:t>FAQ-MED-0034</w:t>
      </w:r>
    </w:p>
    <w:p>
      <w:pPr>
        <w:pStyle w:val="ListBullet"/>
      </w:pPr>
      <w:r>
        <w:t>FAQ-MED-0035</w:t>
      </w:r>
    </w:p>
    <w:p>
      <w:pPr>
        <w:pStyle w:val="ListBullet"/>
      </w:pPr>
      <w:r>
        <w:t>FAQ-MED-0036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CASE-MED-0015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MED-0033</w:t>
      </w:r>
    </w:p>
    <w:p>
      <w:pPr>
        <w:pStyle w:val="ListBullet"/>
      </w:pPr>
      <w:r>
        <w:t>MED-0034</w:t>
      </w:r>
    </w:p>
    <w:p>
      <w:pPr>
        <w:pStyle w:val="ListBullet"/>
      </w:pPr>
      <w:r>
        <w:t>MED-0035</w:t>
      </w:r>
    </w:p>
    <w:p>
      <w:pPr>
        <w:pStyle w:val="ListBullet"/>
      </w:pPr>
      <w:r>
        <w:t>MED-0036</w:t>
      </w:r>
    </w:p>
    <w:p>
      <w:pPr>
        <w:pStyle w:val="ListBullet"/>
      </w:pPr>
      <w:r>
        <w:t>FAQ-MED-0033</w:t>
      </w:r>
    </w:p>
    <w:p>
      <w:pPr>
        <w:pStyle w:val="ListBullet"/>
      </w:pPr>
      <w:r>
        <w:t>FAQ-MED-0034</w:t>
      </w:r>
    </w:p>
    <w:p>
      <w:pPr>
        <w:pStyle w:val="ListBullet"/>
      </w:pPr>
      <w:r>
        <w:t>FAQ-MED-0035</w:t>
      </w:r>
    </w:p>
    <w:p>
      <w:pPr>
        <w:pStyle w:val="ListBullet"/>
      </w:pPr>
      <w:r>
        <w:t>FAQ-MED-0036</w:t>
      </w:r>
    </w:p>
    <w:p>
      <w:pPr>
        <w:pStyle w:val="ListBullet"/>
      </w:pPr>
      <w:r>
        <w:t>CASE-MED-0015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atendimento-bilingue</w:t>
      </w:r>
    </w:p>
    <w:p>
      <w:pPr>
        <w:pStyle w:val="ListBullet"/>
      </w:pPr>
      <w:r>
        <w:t>notebooklm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`15_CaseStudies/MED/CASE-MED-0015.md`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Normalização bilíngue com versão japonesa e portuguesa.</w:t>
            </w:r>
          </w:p>
        </w:tc>
      </w:tr>
    </w:tbl>
    <w:p/>
    <w:p>
      <w:r>
        <w:t>---</w:t>
      </w:r>
    </w:p>
    <w:p>
      <w:pPr>
        <w:pStyle w:val="Heading1"/>
      </w:pPr>
      <w:r>
        <w:t>DIALOGUE-MED-0010 - Aviso de não pagamento, reanálise, depósito e beneficiário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Normalização bilíngue para uso por corretor japonês no NotebookLM.</w:t>
      </w:r>
    </w:p>
    <w:p>
      <w:pPr>
        <w:pStyle w:val="Heading2"/>
      </w:pPr>
      <w:r>
        <w:t>Código</w:t>
      </w:r>
    </w:p>
    <w:p>
      <w:r>
        <w:t>DIALOGUE-MED-0010</w:t>
      </w:r>
    </w:p>
    <w:p>
      <w:pPr>
        <w:pStyle w:val="Heading2"/>
      </w:pPr>
      <w:r>
        <w:t>Categoria</w:t>
      </w:r>
    </w:p>
    <w:p>
      <w:r>
        <w:t>MED</w:t>
      </w:r>
    </w:p>
    <w:p>
      <w:pPr>
        <w:pStyle w:val="Heading2"/>
      </w:pPr>
      <w:r>
        <w:t>Situação de atendimento</w:t>
      </w:r>
    </w:p>
    <w:p>
      <w:r>
        <w:t>Cliente recebeu decisão da seguradora ou precisa confirmar quem receberá o benefício.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Orientar reação segura diante de não pagamento, reanálise e confirmação de depósito.</w:t>
      </w:r>
    </w:p>
    <w:p>
      <w:pPr>
        <w:pStyle w:val="Heading2"/>
      </w:pPr>
      <w:r>
        <w:t>Versão em japonês</w:t>
      </w:r>
    </w:p>
    <w:p>
      <w:r>
        <w:t>**Corretor:** 不支払通知が届いた場合は、まず理由を確認します。</w:t>
      </w:r>
    </w:p>
    <w:p>
      <w:r>
        <w:t>**Cliente:** それはポルトガル語でお客様にどう説明すればよいですか。</w:t>
      </w:r>
    </w:p>
    <w:p>
      <w:r>
        <w:t>**Corretor:** 新しい資料がある場合は、再査定を相談できることがあります。</w:t>
      </w:r>
    </w:p>
    <w:p>
      <w:r>
        <w:t>**Cliente:** 支払いを約束してもよいですか。</w:t>
      </w:r>
    </w:p>
    <w:p>
      <w:r>
        <w:t>**Corretor:** 受取人と入金確認は、支払い後の重要な確認事項です。</w:t>
      </w:r>
    </w:p>
    <w:p>
      <w:pPr>
        <w:pStyle w:val="Heading2"/>
      </w:pPr>
      <w:r>
        <w:t>Versão em português brasileiro</w:t>
      </w:r>
    </w:p>
    <w:p>
      <w:r>
        <w:t>**Corretor:** Se chegar aviso de não pagamento, primeiro precisamos ler o motivo.</w:t>
      </w:r>
    </w:p>
    <w:p>
      <w:r>
        <w:t>**Cliente:** Então isso já garante o pagamento?</w:t>
      </w:r>
    </w:p>
    <w:p>
      <w:r>
        <w:t>**Corretor:** Se houver documento novo, podemos avaliar pedido de reanálise.</w:t>
      </w:r>
    </w:p>
    <w:p>
      <w:r>
        <w:t>**Cliente:** O que eu preciso fazer agora?</w:t>
      </w:r>
    </w:p>
    <w:p>
      <w:r>
        <w:t>**Corretor:** Depois da aprovação, confirme beneficiário e entrada do depósito.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documentos e condições antes de orientar o cliente.</w:t>
      </w:r>
    </w:p>
    <w:p>
      <w:pPr>
        <w:pStyle w:val="ListBullet"/>
      </w:pPr>
      <w:r>
        <w:t>Não prometer aceitação, cobertura ou pagamento antes da análise da seguradora.</w:t>
      </w:r>
    </w:p>
    <w:p>
      <w:pPr>
        <w:pStyle w:val="ListBullet"/>
      </w:pPr>
      <w:r>
        <w:t>Usar português simples e evitar tradução literal quando prejudicar a compreensão.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Registrar a dúvida principal do cliente.</w:t>
      </w:r>
    </w:p>
    <w:p>
      <w:pPr>
        <w:pStyle w:val="ListBullet"/>
      </w:pPr>
      <w:r>
        <w:t>Separar explicação comercial de decisão formal da seguradora.</w:t>
      </w:r>
    </w:p>
    <w:p>
      <w:pPr>
        <w:pStyle w:val="ListBullet"/>
      </w:pPr>
      <w:r>
        <w:t>Apontar os verbetes e FAQs relacionados quando houver dúvida técnica.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MED-0037</w:t>
      </w:r>
    </w:p>
    <w:p>
      <w:pPr>
        <w:pStyle w:val="ListBullet"/>
      </w:pPr>
      <w:r>
        <w:t>MED-0038</w:t>
      </w:r>
    </w:p>
    <w:p>
      <w:pPr>
        <w:pStyle w:val="ListBullet"/>
      </w:pPr>
      <w:r>
        <w:t>MED-0039</w:t>
      </w:r>
    </w:p>
    <w:p>
      <w:pPr>
        <w:pStyle w:val="ListBullet"/>
      </w:pPr>
      <w:r>
        <w:t>MED-0040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FAQ-MED-0037</w:t>
      </w:r>
    </w:p>
    <w:p>
      <w:pPr>
        <w:pStyle w:val="ListBullet"/>
      </w:pPr>
      <w:r>
        <w:t>FAQ-MED-0038</w:t>
      </w:r>
    </w:p>
    <w:p>
      <w:pPr>
        <w:pStyle w:val="ListBullet"/>
      </w:pPr>
      <w:r>
        <w:t>FAQ-MED-0039</w:t>
      </w:r>
    </w:p>
    <w:p>
      <w:pPr>
        <w:pStyle w:val="ListBullet"/>
      </w:pPr>
      <w:r>
        <w:t>FAQ-MED-0040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CASE-MED-0016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MED-0037</w:t>
      </w:r>
    </w:p>
    <w:p>
      <w:pPr>
        <w:pStyle w:val="ListBullet"/>
      </w:pPr>
      <w:r>
        <w:t>MED-0038</w:t>
      </w:r>
    </w:p>
    <w:p>
      <w:pPr>
        <w:pStyle w:val="ListBullet"/>
      </w:pPr>
      <w:r>
        <w:t>MED-0039</w:t>
      </w:r>
    </w:p>
    <w:p>
      <w:pPr>
        <w:pStyle w:val="ListBullet"/>
      </w:pPr>
      <w:r>
        <w:t>MED-0040</w:t>
      </w:r>
    </w:p>
    <w:p>
      <w:pPr>
        <w:pStyle w:val="ListBullet"/>
      </w:pPr>
      <w:r>
        <w:t>FAQ-MED-0037</w:t>
      </w:r>
    </w:p>
    <w:p>
      <w:pPr>
        <w:pStyle w:val="ListBullet"/>
      </w:pPr>
      <w:r>
        <w:t>FAQ-MED-0038</w:t>
      </w:r>
    </w:p>
    <w:p>
      <w:pPr>
        <w:pStyle w:val="ListBullet"/>
      </w:pPr>
      <w:r>
        <w:t>FAQ-MED-0039</w:t>
      </w:r>
    </w:p>
    <w:p>
      <w:pPr>
        <w:pStyle w:val="ListBullet"/>
      </w:pPr>
      <w:r>
        <w:t>FAQ-MED-0040</w:t>
      </w:r>
    </w:p>
    <w:p>
      <w:pPr>
        <w:pStyle w:val="ListBullet"/>
      </w:pPr>
      <w:r>
        <w:t>CASE-MED-0016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med</w:t>
      </w:r>
    </w:p>
    <w:p>
      <w:pPr>
        <w:pStyle w:val="ListBullet"/>
      </w:pPr>
      <w:r>
        <w:t>atendimento-bilingue</w:t>
      </w:r>
    </w:p>
    <w:p>
      <w:pPr>
        <w:pStyle w:val="ListBullet"/>
      </w:pPr>
      <w:r>
        <w:t>notebooklm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`15_CaseStudies/MED/CASE-MED-0016.md`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Normalização bilíngue com versão japonesa e portuguesa.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