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 primeiro lote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FAQ-AUTO-0014 - Para que serve a cobertura de advogado?</w:t>
      </w:r>
    </w:p>
    <w:p>
      <w:pPr>
        <w:pStyle w:val="ListBullet"/>
      </w:pPr>
      <w:r>
        <w:t>FAQ-AUTO-0015 - Quando tenho direito a carro substituto?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ListBullet"/>
      </w:pPr>
      <w:r>
        <w:t>DIALOGUE-AUTO-0008 - Orientando cliente após acidente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ListBullet"/>
      </w:pPr>
      <w:r>
        <w:t>CASE-AUTO-0009 - Cliente acha que 自賠責保険 cobre todos os prejuízos</w:t>
      </w:r>
    </w:p>
    <w:p>
      <w:pPr>
        <w:pStyle w:val="ListBullet"/>
      </w:pPr>
      <w:r>
        <w:t>CASE-AUTO-0010 - Pane na estrada e uso de ロードサービス</w:t>
      </w:r>
    </w:p>
    <w:p>
      <w:pPr>
        <w:pStyle w:val="ListBullet"/>
      </w:pPr>
      <w:r>
        <w:t>CASE-AUTO-0011 - Acidente com motorista fora da restrição de condutores</w:t>
      </w:r>
    </w:p>
    <w:p>
      <w:pPr>
        <w:pStyle w:val="ListBullet"/>
      </w:pPr>
      <w:r>
        <w:t>CASE-AUTO-0012 - Cliente precisa de 交通事故証明書 após colisão</w:t>
      </w:r>
    </w:p>
    <w:p>
      <w:pPr>
        <w:pStyle w:val="Heading2"/>
      </w:pPr>
      <w:r>
        <w:t>Mapa de referências cruzadas</w:t>
      </w:r>
    </w:p>
    <w:p>
      <w:r>
        <w:rPr>
          <w:rFonts w:ascii="Courier New" w:hAnsi="Courier New"/>
          <w:sz w:val="15"/>
        </w:rPr>
        <w:t>| Tema | Verbetes | FAQs | Diálogos | Casos |</w:t>
      </w:r>
    </w:p>
    <w:p>
      <w:r>
        <w:rPr>
          <w:rFonts w:ascii="Courier New" w:hAnsi="Courier New"/>
          <w:sz w:val="15"/>
        </w:rPr>
        <w:t>| --- | --- | --- | --- | --- |</w:t>
      </w:r>
    </w:p>
    <w:p>
      <w:r>
        <w:rPr>
          <w:rFonts w:ascii="Courier New" w:hAnsi="Courier New"/>
          <w:sz w:val="15"/>
        </w:rPr>
        <w:t>| Cobertura geral | AUTO-0001 | FAQ-AUTO-0001 | DIALOGUE-AUTO-0001 | CASE-AUTO-0001 |</w:t>
      </w:r>
    </w:p>
    <w:p>
      <w:r>
        <w:rPr>
          <w:rFonts w:ascii="Courier New" w:hAnsi="Courier New"/>
          <w:sz w:val="15"/>
        </w:rPr>
        <w:t>| Danos pessoais a terceiros | AUTO-0002 | FAQ-AUTO-0002 | DIALOGUE-AUTO-0001 | CASE-AUTO-0002 |</w:t>
      </w:r>
    </w:p>
    <w:p>
      <w:r>
        <w:rPr>
          <w:rFonts w:ascii="Courier New" w:hAnsi="Courier New"/>
          <w:sz w:val="15"/>
        </w:rPr>
        <w:t>| Danos materiais a terceiros | AUTO-0003 | FAQ-AUTO-0003 | DIALOGUE-AUTO-0001 | CASE-AUTO-0003 |</w:t>
      </w:r>
    </w:p>
    <w:p>
      <w:r>
        <w:rPr>
          <w:rFonts w:ascii="Courier New" w:hAnsi="Courier New"/>
          <w:sz w:val="15"/>
        </w:rPr>
        <w:t>| Próprio veículo | AUTO-0004 | FAQ-AUTO-0004 | DIALOGUE-AUTO-0002 | CASE-AUTO-0004 |</w:t>
      </w:r>
    </w:p>
    <w:p>
      <w:r>
        <w:rPr>
          <w:rFonts w:ascii="Courier New" w:hAnsi="Courier New"/>
          <w:sz w:val="15"/>
        </w:rPr>
        <w:t>| Pessoas no veículo | AUTO-0005, AUTO-0006 | FAQ-AUTO-0005, FAQ-AUTO-0006 | DIALOGUE-AUTO-0002 | CASE-AUTO-0005 |</w:t>
      </w:r>
    </w:p>
    <w:p>
      <w:r>
        <w:rPr>
          <w:rFonts w:ascii="Courier New" w:hAnsi="Courier New"/>
          <w:sz w:val="15"/>
        </w:rPr>
        <w:t>| Franquia | AUTO-0007 | FAQ-AUTO-0007 | DIALOGUE-AUTO-0003 | CASE-AUTO-0006 |</w:t>
      </w:r>
    </w:p>
    <w:p>
      <w:r>
        <w:rPr>
          <w:rFonts w:ascii="Courier New" w:hAnsi="Courier New"/>
          <w:sz w:val="15"/>
        </w:rPr>
        <w:t>| Classe e preço | AUTO-0008, AUTO-0009 | FAQ-AUTO-0008, FAQ-AUTO-0009 | DIALOGUE-AUTO-0003 | CASE-AUTO-0007 |</w:t>
      </w:r>
    </w:p>
    <w:p>
      <w:r>
        <w:rPr>
          <w:rFonts w:ascii="Courier New" w:hAnsi="Courier New"/>
          <w:sz w:val="15"/>
        </w:rPr>
        <w:t>| Indenização | AUTO-0010 | FAQ-AUTO-0010 | DIALOGUE-AUTO-0004 | CASE-AUTO-0008 |</w:t>
      </w:r>
    </w:p>
    <w:p>
      <w:r>
        <w:rPr>
          <w:rFonts w:ascii="Courier New" w:hAnsi="Courier New"/>
          <w:sz w:val="15"/>
        </w:rPr>
        <w:t>| Seguro obrigatório e voluntário | AUTO-0011, AUTO-0012 | FAQ-AUTO-0011, FAQ-AUTO-0012 | DIALOGUE-AUTO-0005 | CASE-AUTO-0009 |</w:t>
      </w:r>
    </w:p>
    <w:p>
      <w:r>
        <w:rPr>
          <w:rFonts w:ascii="Courier New" w:hAnsi="Courier New"/>
          <w:sz w:val="15"/>
        </w:rPr>
        <w:t>| Assistência e carro substituto | AUTO-0013, AUTO-0015 | FAQ-AUTO-0013, FAQ-AUTO-0015 | DIALOGUE-AUTO-0006 | CASE-AUTO-0010 |</w:t>
      </w:r>
    </w:p>
    <w:p>
      <w:r>
        <w:rPr>
          <w:rFonts w:ascii="Courier New" w:hAnsi="Courier New"/>
          <w:sz w:val="15"/>
        </w:rPr>
        <w:t>| Cobertura de advogado | AUTO-0014 | FAQ-AUTO-0014 | DIALOGUE-AUTO-0008 | CASE-AUTO-0012 |</w:t>
      </w:r>
    </w:p>
    <w:p>
      <w:r>
        <w:rPr>
          <w:rFonts w:ascii="Courier New" w:hAnsi="Courier New"/>
          <w:sz w:val="15"/>
        </w:rPr>
        <w:t>| Condutores, idade e uso | AUTO-0016, AUTO-0017, AUTO-0018 | FAQ-AUTO-0016, FAQ-AUTO-0017, FAQ-AUTO-0018 | DIALOGUE-AUTO-0007 | CASE-AUTO-0011 |</w:t>
      </w:r>
    </w:p>
    <w:p>
      <w:r>
        <w:rPr>
          <w:rFonts w:ascii="Courier New" w:hAnsi="Courier New"/>
          <w:sz w:val="15"/>
        </w:rPr>
        <w:t>| Aviso e certificado de acidente | AUTO-0019, AUTO-0020 | FAQ-AUTO-0019, FAQ-AUTO-0020 | DIALOGUE-AUTO-0008 | CASE-AUTO-0012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ListBullet"/>
      </w:pPr>
      <w:r>
        <w:t>`19_Markdown/AUTO/AUTO_TERMS_0011_0020.md`</w:t>
      </w:r>
    </w:p>
    <w:p>
      <w:pPr>
        <w:pStyle w:val="ListBullet"/>
      </w:pPr>
      <w:r>
        <w:t>`19_Markdown/AUTO/AUTO_FAQ_0011_0020.md`</w:t>
      </w:r>
    </w:p>
    <w:p>
      <w:pPr>
        <w:pStyle w:val="ListBullet"/>
      </w:pPr>
      <w:r>
        <w:t>`19_Markdown/AUTO/AUTO_DIALOGUES_0005_0008.md`</w:t>
      </w:r>
    </w:p>
    <w:p>
      <w:pPr>
        <w:pStyle w:val="ListBullet"/>
      </w:pPr>
      <w:r>
        <w:t>`19_Markdown/AUTO/AUTO_CASES_0009_0012.md`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5"/>
        </w:rPr>
        <w:t>| Data | Versão | Autor | Alteração |</w:t>
      </w:r>
    </w:p>
    <w:p>
      <w:r>
        <w:rPr>
          <w:rFonts w:ascii="Courier New" w:hAnsi="Courier New"/>
          <w:sz w:val="15"/>
        </w:rPr>
        <w:t>| --- | --- | --- | --- |</w:t>
      </w:r>
    </w:p>
    <w:p>
      <w:r>
        <w:rPr>
          <w:rFonts w:ascii="Courier New" w:hAnsi="Courier New"/>
          <w:sz w:val="15"/>
        </w:rPr>
        <w:t>| 2026-06-25 | 0.1 | JP-BR Insurance Knowledge Base | Criação inicial. |</w:t>
      </w:r>
    </w:p>
    <w:p>
      <w:r>
        <w:rPr>
          <w:rFonts w:ascii="Courier New" w:hAnsi="Courier New"/>
          <w:sz w:val="15"/>
        </w:rPr>
        <w:t>| 2026-06-25 | 0.2 | JP-BR Insurance Knowledge Base | Inclusão do segundo lote AUTO.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