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MED_CASES_0017_0024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Heading1"/>
      </w:pPr>
      <w:r>
        <w:t>CASE-MED-0017 - Cliente acha que proposta enviada já garante cobertura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CASE-MED-0017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acha que proposta enviada já garante cobertura.</w:t>
      </w:r>
    </w:p>
    <w:p>
      <w:pPr>
        <w:pStyle w:val="Heading2"/>
      </w:pPr>
      <w:r>
        <w:t>Problema</w:t>
      </w:r>
    </w:p>
    <w:p>
      <w:r>
        <w:t>Cliente pode confundir proposta, aceitação, início de contrato, condição especial ou alteração posterior.</w:t>
      </w:r>
    </w:p>
    <w:p>
      <w:pPr>
        <w:pStyle w:val="Heading2"/>
      </w:pPr>
      <w:r>
        <w:t>Análise</w:t>
      </w:r>
    </w:p>
    <w:p>
      <w:r>
        <w:t>A contratação de seguro médico exige declaração correta, análise da seguradora e confirmação formal das condições aceitas.</w:t>
      </w:r>
    </w:p>
    <w:p>
      <w:pPr>
        <w:pStyle w:val="Heading2"/>
      </w:pPr>
      <w:r>
        <w:t>Orientação ao corretor</w:t>
      </w:r>
    </w:p>
    <w:p>
      <w:r>
        <w:t>Explicar cada etapa sem prometer aprovação, registrar dúvidas do cliente e conferir documentos antes do envio.</w:t>
      </w:r>
    </w:p>
    <w:p>
      <w:pPr>
        <w:pStyle w:val="Heading2"/>
      </w:pPr>
      <w:r>
        <w:t>Como explicar ao cliente brasileiro</w:t>
      </w:r>
    </w:p>
    <w:p>
      <w:r>
        <w:t>Enviar a proposta não significa aprovação automática. Vamos aguardar a análise e conferir a resposta formal da seguradora.</w:t>
      </w:r>
    </w:p>
    <w:p>
      <w:pPr>
        <w:pStyle w:val="Heading2"/>
      </w:pPr>
      <w:r>
        <w:t>Resultado esperado</w:t>
      </w:r>
    </w:p>
    <w:p>
      <w:r>
        <w:t>Cliente entende o processo de aceitação e decide com clareza sobre condições do contrato.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MED-0041</w:t>
      </w:r>
    </w:p>
    <w:p>
      <w:pPr>
        <w:pStyle w:val="ListBullet"/>
      </w:pPr>
      <w:r>
        <w:t>MED-0042</w:t>
      </w:r>
    </w:p>
    <w:p>
      <w:pPr>
        <w:pStyle w:val="ListBullet"/>
      </w:pPr>
      <w:r>
        <w:t>MED-0043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FAQ-MED-0041</w:t>
      </w:r>
    </w:p>
    <w:p>
      <w:pPr>
        <w:pStyle w:val="ListBullet"/>
      </w:pPr>
      <w:r>
        <w:t>FAQ-MED-0042</w:t>
      </w:r>
    </w:p>
    <w:p>
      <w:pPr>
        <w:pStyle w:val="ListBullet"/>
      </w:pPr>
      <w:r>
        <w:t>FAQ-MED-0043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DIALOGUE-MED-0011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MED-0041</w:t>
      </w:r>
    </w:p>
    <w:p>
      <w:pPr>
        <w:pStyle w:val="ListBullet"/>
      </w:pPr>
      <w:r>
        <w:t>MED-0042</w:t>
      </w:r>
    </w:p>
    <w:p>
      <w:pPr>
        <w:pStyle w:val="ListBullet"/>
      </w:pPr>
      <w:r>
        <w:t>MED-0043</w:t>
      </w:r>
    </w:p>
    <w:p>
      <w:pPr>
        <w:pStyle w:val="ListBullet"/>
      </w:pPr>
      <w:r>
        <w:t>FAQ-MED-0041</w:t>
      </w:r>
    </w:p>
    <w:p>
      <w:pPr>
        <w:pStyle w:val="ListBullet"/>
      </w:pPr>
      <w:r>
        <w:t>FAQ-MED-0042</w:t>
      </w:r>
    </w:p>
    <w:p>
      <w:pPr>
        <w:pStyle w:val="ListBullet"/>
      </w:pPr>
      <w:r>
        <w:t>FAQ-MED-0043</w:t>
      </w:r>
    </w:p>
    <w:p>
      <w:pPr>
        <w:pStyle w:val="ListBullet"/>
      </w:pPr>
      <w:r>
        <w:t>DIALOGUE-MED-0011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contratacao</w:t>
      </w:r>
    </w:p>
    <w:p>
      <w:pPr>
        <w:pStyle w:val="ListBullet"/>
      </w:pPr>
      <w:r>
        <w:t>avaliacao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`13_Dialogues/MED/DIALOGUE-MED-0011.md`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CASE-MED-0018 - Cliente confunde contratante e segurado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CASE-MED-0018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confunde contratante e segurado.</w:t>
      </w:r>
    </w:p>
    <w:p>
      <w:pPr>
        <w:pStyle w:val="Heading2"/>
      </w:pPr>
      <w:r>
        <w:t>Problema</w:t>
      </w:r>
    </w:p>
    <w:p>
      <w:r>
        <w:t>Cliente pode confundir proposta, aceitação, início de contrato, condição especial ou alteração posterior.</w:t>
      </w:r>
    </w:p>
    <w:p>
      <w:pPr>
        <w:pStyle w:val="Heading2"/>
      </w:pPr>
      <w:r>
        <w:t>Análise</w:t>
      </w:r>
    </w:p>
    <w:p>
      <w:r>
        <w:t>A contratação de seguro médico exige declaração correta, análise da seguradora e confirmação formal das condições aceitas.</w:t>
      </w:r>
    </w:p>
    <w:p>
      <w:pPr>
        <w:pStyle w:val="Heading2"/>
      </w:pPr>
      <w:r>
        <w:t>Orientação ao corretor</w:t>
      </w:r>
    </w:p>
    <w:p>
      <w:r>
        <w:t>Explicar cada etapa sem prometer aprovação, registrar dúvidas do cliente e conferir documentos antes do envio.</w:t>
      </w:r>
    </w:p>
    <w:p>
      <w:pPr>
        <w:pStyle w:val="Heading2"/>
      </w:pPr>
      <w:r>
        <w:t>Como explicar ao cliente brasileiro</w:t>
      </w:r>
    </w:p>
    <w:p>
      <w:r>
        <w:t>Enviar a proposta não significa aprovação automática. Vamos aguardar a análise e conferir a resposta formal da seguradora.</w:t>
      </w:r>
    </w:p>
    <w:p>
      <w:pPr>
        <w:pStyle w:val="Heading2"/>
      </w:pPr>
      <w:r>
        <w:t>Resultado esperado</w:t>
      </w:r>
    </w:p>
    <w:p>
      <w:r>
        <w:t>Cliente entende o processo de aceitação e decide com clareza sobre condições do contrato.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MED-0043</w:t>
      </w:r>
    </w:p>
    <w:p>
      <w:pPr>
        <w:pStyle w:val="ListBullet"/>
      </w:pPr>
      <w:r>
        <w:t>MED-0044</w:t>
      </w:r>
    </w:p>
    <w:p>
      <w:pPr>
        <w:pStyle w:val="ListBullet"/>
      </w:pPr>
      <w:r>
        <w:t>MED-0045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FAQ-MED-0043</w:t>
      </w:r>
    </w:p>
    <w:p>
      <w:pPr>
        <w:pStyle w:val="ListBullet"/>
      </w:pPr>
      <w:r>
        <w:t>FAQ-MED-0044</w:t>
      </w:r>
    </w:p>
    <w:p>
      <w:pPr>
        <w:pStyle w:val="ListBullet"/>
      </w:pPr>
      <w:r>
        <w:t>FAQ-MED-0045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DIALOGUE-MED-0011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MED-0043</w:t>
      </w:r>
    </w:p>
    <w:p>
      <w:pPr>
        <w:pStyle w:val="ListBullet"/>
      </w:pPr>
      <w:r>
        <w:t>MED-0044</w:t>
      </w:r>
    </w:p>
    <w:p>
      <w:pPr>
        <w:pStyle w:val="ListBullet"/>
      </w:pPr>
      <w:r>
        <w:t>MED-0045</w:t>
      </w:r>
    </w:p>
    <w:p>
      <w:pPr>
        <w:pStyle w:val="ListBullet"/>
      </w:pPr>
      <w:r>
        <w:t>FAQ-MED-0043</w:t>
      </w:r>
    </w:p>
    <w:p>
      <w:pPr>
        <w:pStyle w:val="ListBullet"/>
      </w:pPr>
      <w:r>
        <w:t>FAQ-MED-0044</w:t>
      </w:r>
    </w:p>
    <w:p>
      <w:pPr>
        <w:pStyle w:val="ListBullet"/>
      </w:pPr>
      <w:r>
        <w:t>FAQ-MED-0045</w:t>
      </w:r>
    </w:p>
    <w:p>
      <w:pPr>
        <w:pStyle w:val="ListBullet"/>
      </w:pPr>
      <w:r>
        <w:t>DIALOGUE-MED-0011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contratacao</w:t>
      </w:r>
    </w:p>
    <w:p>
      <w:pPr>
        <w:pStyle w:val="ListBullet"/>
      </w:pPr>
      <w:r>
        <w:t>avaliacao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`13_Dialogues/MED/DIALOGUE-MED-0011.md`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CASE-MED-0019 - Cliente omite informação no questionário de saúde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CASE-MED-0019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omite informação no questionário de saúde.</w:t>
      </w:r>
    </w:p>
    <w:p>
      <w:pPr>
        <w:pStyle w:val="Heading2"/>
      </w:pPr>
      <w:r>
        <w:t>Problema</w:t>
      </w:r>
    </w:p>
    <w:p>
      <w:r>
        <w:t>Cliente pode confundir proposta, aceitação, início de contrato, condição especial ou alteração posterior.</w:t>
      </w:r>
    </w:p>
    <w:p>
      <w:pPr>
        <w:pStyle w:val="Heading2"/>
      </w:pPr>
      <w:r>
        <w:t>Análise</w:t>
      </w:r>
    </w:p>
    <w:p>
      <w:r>
        <w:t>A contratação de seguro médico exige declaração correta, análise da seguradora e confirmação formal das condições aceitas.</w:t>
      </w:r>
    </w:p>
    <w:p>
      <w:pPr>
        <w:pStyle w:val="Heading2"/>
      </w:pPr>
      <w:r>
        <w:t>Orientação ao corretor</w:t>
      </w:r>
    </w:p>
    <w:p>
      <w:r>
        <w:t>Explicar cada etapa sem prometer aprovação, registrar dúvidas do cliente e conferir documentos antes do envio.</w:t>
      </w:r>
    </w:p>
    <w:p>
      <w:pPr>
        <w:pStyle w:val="Heading2"/>
      </w:pPr>
      <w:r>
        <w:t>Como explicar ao cliente brasileiro</w:t>
      </w:r>
    </w:p>
    <w:p>
      <w:r>
        <w:t>Enviar a proposta não significa aprovação automática. Vamos aguardar a análise e conferir a resposta formal da seguradora.</w:t>
      </w:r>
    </w:p>
    <w:p>
      <w:pPr>
        <w:pStyle w:val="Heading2"/>
      </w:pPr>
      <w:r>
        <w:t>Resultado esperado</w:t>
      </w:r>
    </w:p>
    <w:p>
      <w:r>
        <w:t>Cliente entende o processo de aceitação e decide com clareza sobre condições do contrato.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MED-0045</w:t>
      </w:r>
    </w:p>
    <w:p>
      <w:pPr>
        <w:pStyle w:val="ListBullet"/>
      </w:pPr>
      <w:r>
        <w:t>MED-0046</w:t>
      </w:r>
    </w:p>
    <w:p>
      <w:pPr>
        <w:pStyle w:val="ListBullet"/>
      </w:pPr>
      <w:r>
        <w:t>MED-0047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FAQ-MED-0045</w:t>
      </w:r>
    </w:p>
    <w:p>
      <w:pPr>
        <w:pStyle w:val="ListBullet"/>
      </w:pPr>
      <w:r>
        <w:t>FAQ-MED-0046</w:t>
      </w:r>
    </w:p>
    <w:p>
      <w:pPr>
        <w:pStyle w:val="ListBullet"/>
      </w:pPr>
      <w:r>
        <w:t>FAQ-MED-0047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DIALOGUE-MED-0012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MED-0045</w:t>
      </w:r>
    </w:p>
    <w:p>
      <w:pPr>
        <w:pStyle w:val="ListBullet"/>
      </w:pPr>
      <w:r>
        <w:t>MED-0046</w:t>
      </w:r>
    </w:p>
    <w:p>
      <w:pPr>
        <w:pStyle w:val="ListBullet"/>
      </w:pPr>
      <w:r>
        <w:t>MED-0047</w:t>
      </w:r>
    </w:p>
    <w:p>
      <w:pPr>
        <w:pStyle w:val="ListBullet"/>
      </w:pPr>
      <w:r>
        <w:t>FAQ-MED-0045</w:t>
      </w:r>
    </w:p>
    <w:p>
      <w:pPr>
        <w:pStyle w:val="ListBullet"/>
      </w:pPr>
      <w:r>
        <w:t>FAQ-MED-0046</w:t>
      </w:r>
    </w:p>
    <w:p>
      <w:pPr>
        <w:pStyle w:val="ListBullet"/>
      </w:pPr>
      <w:r>
        <w:t>FAQ-MED-0047</w:t>
      </w:r>
    </w:p>
    <w:p>
      <w:pPr>
        <w:pStyle w:val="ListBullet"/>
      </w:pPr>
      <w:r>
        <w:t>DIALOGUE-MED-0012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contratacao</w:t>
      </w:r>
    </w:p>
    <w:p>
      <w:pPr>
        <w:pStyle w:val="ListBullet"/>
      </w:pPr>
      <w:r>
        <w:t>avaliacao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`13_Dialogues/MED/DIALOGUE-MED-0012.md`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CASE-MED-0020 - Cliente recebe pedido de exame médico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CASE-MED-0020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recebe pedido de exame médico.</w:t>
      </w:r>
    </w:p>
    <w:p>
      <w:pPr>
        <w:pStyle w:val="Heading2"/>
      </w:pPr>
      <w:r>
        <w:t>Problema</w:t>
      </w:r>
    </w:p>
    <w:p>
      <w:r>
        <w:t>Cliente pode confundir proposta, aceitação, início de contrato, condição especial ou alteração posterior.</w:t>
      </w:r>
    </w:p>
    <w:p>
      <w:pPr>
        <w:pStyle w:val="Heading2"/>
      </w:pPr>
      <w:r>
        <w:t>Análise</w:t>
      </w:r>
    </w:p>
    <w:p>
      <w:r>
        <w:t>A contratação de seguro médico exige declaração correta, análise da seguradora e confirmação formal das condições aceitas.</w:t>
      </w:r>
    </w:p>
    <w:p>
      <w:pPr>
        <w:pStyle w:val="Heading2"/>
      </w:pPr>
      <w:r>
        <w:t>Orientação ao corretor</w:t>
      </w:r>
    </w:p>
    <w:p>
      <w:r>
        <w:t>Explicar cada etapa sem prometer aprovação, registrar dúvidas do cliente e conferir documentos antes do envio.</w:t>
      </w:r>
    </w:p>
    <w:p>
      <w:pPr>
        <w:pStyle w:val="Heading2"/>
      </w:pPr>
      <w:r>
        <w:t>Como explicar ao cliente brasileiro</w:t>
      </w:r>
    </w:p>
    <w:p>
      <w:r>
        <w:t>Enviar a proposta não significa aprovação automática. Vamos aguardar a análise e conferir a resposta formal da seguradora.</w:t>
      </w:r>
    </w:p>
    <w:p>
      <w:pPr>
        <w:pStyle w:val="Heading2"/>
      </w:pPr>
      <w:r>
        <w:t>Resultado esperado</w:t>
      </w:r>
    </w:p>
    <w:p>
      <w:r>
        <w:t>Cliente entende o processo de aceitação e decide com clareza sobre condições do contrato.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MED-0047</w:t>
      </w:r>
    </w:p>
    <w:p>
      <w:pPr>
        <w:pStyle w:val="ListBullet"/>
      </w:pPr>
      <w:r>
        <w:t>MED-0048</w:t>
      </w:r>
    </w:p>
    <w:p>
      <w:pPr>
        <w:pStyle w:val="ListBullet"/>
      </w:pPr>
      <w:r>
        <w:t>MED-0049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FAQ-MED-0047</w:t>
      </w:r>
    </w:p>
    <w:p>
      <w:pPr>
        <w:pStyle w:val="ListBullet"/>
      </w:pPr>
      <w:r>
        <w:t>FAQ-MED-0048</w:t>
      </w:r>
    </w:p>
    <w:p>
      <w:pPr>
        <w:pStyle w:val="ListBullet"/>
      </w:pPr>
      <w:r>
        <w:t>FAQ-MED-0049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DIALOGUE-MED-0012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MED-0047</w:t>
      </w:r>
    </w:p>
    <w:p>
      <w:pPr>
        <w:pStyle w:val="ListBullet"/>
      </w:pPr>
      <w:r>
        <w:t>MED-0048</w:t>
      </w:r>
    </w:p>
    <w:p>
      <w:pPr>
        <w:pStyle w:val="ListBullet"/>
      </w:pPr>
      <w:r>
        <w:t>MED-0049</w:t>
      </w:r>
    </w:p>
    <w:p>
      <w:pPr>
        <w:pStyle w:val="ListBullet"/>
      </w:pPr>
      <w:r>
        <w:t>FAQ-MED-0047</w:t>
      </w:r>
    </w:p>
    <w:p>
      <w:pPr>
        <w:pStyle w:val="ListBullet"/>
      </w:pPr>
      <w:r>
        <w:t>FAQ-MED-0048</w:t>
      </w:r>
    </w:p>
    <w:p>
      <w:pPr>
        <w:pStyle w:val="ListBullet"/>
      </w:pPr>
      <w:r>
        <w:t>FAQ-MED-0049</w:t>
      </w:r>
    </w:p>
    <w:p>
      <w:pPr>
        <w:pStyle w:val="ListBullet"/>
      </w:pPr>
      <w:r>
        <w:t>DIALOGUE-MED-0012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contratacao</w:t>
      </w:r>
    </w:p>
    <w:p>
      <w:pPr>
        <w:pStyle w:val="ListBullet"/>
      </w:pPr>
      <w:r>
        <w:t>avaliacao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`13_Dialogues/MED/DIALOGUE-MED-0012.md`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CASE-MED-0021 - Cliente recebe aceitação com condição especial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CASE-MED-0021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recebe aceitação com condição especial.</w:t>
      </w:r>
    </w:p>
    <w:p>
      <w:pPr>
        <w:pStyle w:val="Heading2"/>
      </w:pPr>
      <w:r>
        <w:t>Problema</w:t>
      </w:r>
    </w:p>
    <w:p>
      <w:r>
        <w:t>Cliente pode confundir proposta, aceitação, início de contrato, condição especial ou alteração posterior.</w:t>
      </w:r>
    </w:p>
    <w:p>
      <w:pPr>
        <w:pStyle w:val="Heading2"/>
      </w:pPr>
      <w:r>
        <w:t>Análise</w:t>
      </w:r>
    </w:p>
    <w:p>
      <w:r>
        <w:t>A contratação de seguro médico exige declaração correta, análise da seguradora e confirmação formal das condições aceitas.</w:t>
      </w:r>
    </w:p>
    <w:p>
      <w:pPr>
        <w:pStyle w:val="Heading2"/>
      </w:pPr>
      <w:r>
        <w:t>Orientação ao corretor</w:t>
      </w:r>
    </w:p>
    <w:p>
      <w:r>
        <w:t>Explicar cada etapa sem prometer aprovação, registrar dúvidas do cliente e conferir documentos antes do envio.</w:t>
      </w:r>
    </w:p>
    <w:p>
      <w:pPr>
        <w:pStyle w:val="Heading2"/>
      </w:pPr>
      <w:r>
        <w:t>Como explicar ao cliente brasileiro</w:t>
      </w:r>
    </w:p>
    <w:p>
      <w:r>
        <w:t>Enviar a proposta não significa aprovação automática. Vamos aguardar a análise e conferir a resposta formal da seguradora.</w:t>
      </w:r>
    </w:p>
    <w:p>
      <w:pPr>
        <w:pStyle w:val="Heading2"/>
      </w:pPr>
      <w:r>
        <w:t>Resultado esperado</w:t>
      </w:r>
    </w:p>
    <w:p>
      <w:r>
        <w:t>Cliente entende o processo de aceitação e decide com clareza sobre condições do contrato.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MED-0049</w:t>
      </w:r>
    </w:p>
    <w:p>
      <w:pPr>
        <w:pStyle w:val="ListBullet"/>
      </w:pPr>
      <w:r>
        <w:t>MED-0050</w:t>
      </w:r>
    </w:p>
    <w:p>
      <w:pPr>
        <w:pStyle w:val="ListBullet"/>
      </w:pPr>
      <w:r>
        <w:t>MED-0051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FAQ-MED-0049</w:t>
      </w:r>
    </w:p>
    <w:p>
      <w:pPr>
        <w:pStyle w:val="ListBullet"/>
      </w:pPr>
      <w:r>
        <w:t>FAQ-MED-0050</w:t>
      </w:r>
    </w:p>
    <w:p>
      <w:pPr>
        <w:pStyle w:val="ListBullet"/>
      </w:pPr>
      <w:r>
        <w:t>FAQ-MED-0051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DIALOGUE-MED-0013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MED-0049</w:t>
      </w:r>
    </w:p>
    <w:p>
      <w:pPr>
        <w:pStyle w:val="ListBullet"/>
      </w:pPr>
      <w:r>
        <w:t>MED-0050</w:t>
      </w:r>
    </w:p>
    <w:p>
      <w:pPr>
        <w:pStyle w:val="ListBullet"/>
      </w:pPr>
      <w:r>
        <w:t>MED-0051</w:t>
      </w:r>
    </w:p>
    <w:p>
      <w:pPr>
        <w:pStyle w:val="ListBullet"/>
      </w:pPr>
      <w:r>
        <w:t>FAQ-MED-0049</w:t>
      </w:r>
    </w:p>
    <w:p>
      <w:pPr>
        <w:pStyle w:val="ListBullet"/>
      </w:pPr>
      <w:r>
        <w:t>FAQ-MED-0050</w:t>
      </w:r>
    </w:p>
    <w:p>
      <w:pPr>
        <w:pStyle w:val="ListBullet"/>
      </w:pPr>
      <w:r>
        <w:t>FAQ-MED-0051</w:t>
      </w:r>
    </w:p>
    <w:p>
      <w:pPr>
        <w:pStyle w:val="ListBullet"/>
      </w:pPr>
      <w:r>
        <w:t>DIALOGUE-MED-0013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contratacao</w:t>
      </w:r>
    </w:p>
    <w:p>
      <w:pPr>
        <w:pStyle w:val="ListBullet"/>
      </w:pPr>
      <w:r>
        <w:t>avaliacao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`13_Dialogues/MED/DIALOGUE-MED-0013.md`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CASE-MED-0022 - Cliente não entende exclusão de doença específica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CASE-MED-0022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não entende exclusão de doença específica.</w:t>
      </w:r>
    </w:p>
    <w:p>
      <w:pPr>
        <w:pStyle w:val="Heading2"/>
      </w:pPr>
      <w:r>
        <w:t>Problema</w:t>
      </w:r>
    </w:p>
    <w:p>
      <w:r>
        <w:t>Cliente pode confundir proposta, aceitação, início de contrato, condição especial ou alteração posterior.</w:t>
      </w:r>
    </w:p>
    <w:p>
      <w:pPr>
        <w:pStyle w:val="Heading2"/>
      </w:pPr>
      <w:r>
        <w:t>Análise</w:t>
      </w:r>
    </w:p>
    <w:p>
      <w:r>
        <w:t>A contratação de seguro médico exige declaração correta, análise da seguradora e confirmação formal das condições aceitas.</w:t>
      </w:r>
    </w:p>
    <w:p>
      <w:pPr>
        <w:pStyle w:val="Heading2"/>
      </w:pPr>
      <w:r>
        <w:t>Orientação ao corretor</w:t>
      </w:r>
    </w:p>
    <w:p>
      <w:r>
        <w:t>Explicar cada etapa sem prometer aprovação, registrar dúvidas do cliente e conferir documentos antes do envio.</w:t>
      </w:r>
    </w:p>
    <w:p>
      <w:pPr>
        <w:pStyle w:val="Heading2"/>
      </w:pPr>
      <w:r>
        <w:t>Como explicar ao cliente brasileiro</w:t>
      </w:r>
    </w:p>
    <w:p>
      <w:r>
        <w:t>Enviar a proposta não significa aprovação automática. Vamos aguardar a análise e conferir a resposta formal da seguradora.</w:t>
      </w:r>
    </w:p>
    <w:p>
      <w:pPr>
        <w:pStyle w:val="Heading2"/>
      </w:pPr>
      <w:r>
        <w:t>Resultado esperado</w:t>
      </w:r>
    </w:p>
    <w:p>
      <w:r>
        <w:t>Cliente entende o processo de aceitação e decide com clareza sobre condições do contrato.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MED-0051</w:t>
      </w:r>
    </w:p>
    <w:p>
      <w:pPr>
        <w:pStyle w:val="ListBullet"/>
      </w:pPr>
      <w:r>
        <w:t>MED-0052</w:t>
      </w:r>
    </w:p>
    <w:p>
      <w:pPr>
        <w:pStyle w:val="ListBullet"/>
      </w:pPr>
      <w:r>
        <w:t>MED-0053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FAQ-MED-0051</w:t>
      </w:r>
    </w:p>
    <w:p>
      <w:pPr>
        <w:pStyle w:val="ListBullet"/>
      </w:pPr>
      <w:r>
        <w:t>FAQ-MED-0052</w:t>
      </w:r>
    </w:p>
    <w:p>
      <w:pPr>
        <w:pStyle w:val="ListBullet"/>
      </w:pPr>
      <w:r>
        <w:t>FAQ-MED-0053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DIALOGUE-MED-0013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MED-0051</w:t>
      </w:r>
    </w:p>
    <w:p>
      <w:pPr>
        <w:pStyle w:val="ListBullet"/>
      </w:pPr>
      <w:r>
        <w:t>MED-0052</w:t>
      </w:r>
    </w:p>
    <w:p>
      <w:pPr>
        <w:pStyle w:val="ListBullet"/>
      </w:pPr>
      <w:r>
        <w:t>MED-0053</w:t>
      </w:r>
    </w:p>
    <w:p>
      <w:pPr>
        <w:pStyle w:val="ListBullet"/>
      </w:pPr>
      <w:r>
        <w:t>FAQ-MED-0051</w:t>
      </w:r>
    </w:p>
    <w:p>
      <w:pPr>
        <w:pStyle w:val="ListBullet"/>
      </w:pPr>
      <w:r>
        <w:t>FAQ-MED-0052</w:t>
      </w:r>
    </w:p>
    <w:p>
      <w:pPr>
        <w:pStyle w:val="ListBullet"/>
      </w:pPr>
      <w:r>
        <w:t>FAQ-MED-0053</w:t>
      </w:r>
    </w:p>
    <w:p>
      <w:pPr>
        <w:pStyle w:val="ListBullet"/>
      </w:pPr>
      <w:r>
        <w:t>DIALOGUE-MED-0013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contratacao</w:t>
      </w:r>
    </w:p>
    <w:p>
      <w:pPr>
        <w:pStyle w:val="ListBullet"/>
      </w:pPr>
      <w:r>
        <w:t>avaliacao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`13_Dialogues/MED/DIALOGUE-MED-0013.md`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CASE-MED-0023 - Cliente tem contratação recusada ou adiada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CASE-MED-0023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tem contratação recusada ou adiada.</w:t>
      </w:r>
    </w:p>
    <w:p>
      <w:pPr>
        <w:pStyle w:val="Heading2"/>
      </w:pPr>
      <w:r>
        <w:t>Problema</w:t>
      </w:r>
    </w:p>
    <w:p>
      <w:r>
        <w:t>Cliente pode confundir proposta, aceitação, início de contrato, condição especial ou alteração posterior.</w:t>
      </w:r>
    </w:p>
    <w:p>
      <w:pPr>
        <w:pStyle w:val="Heading2"/>
      </w:pPr>
      <w:r>
        <w:t>Análise</w:t>
      </w:r>
    </w:p>
    <w:p>
      <w:r>
        <w:t>A contratação de seguro médico exige declaração correta, análise da seguradora e confirmação formal das condições aceitas.</w:t>
      </w:r>
    </w:p>
    <w:p>
      <w:pPr>
        <w:pStyle w:val="Heading2"/>
      </w:pPr>
      <w:r>
        <w:t>Orientação ao corretor</w:t>
      </w:r>
    </w:p>
    <w:p>
      <w:r>
        <w:t>Explicar cada etapa sem prometer aprovação, registrar dúvidas do cliente e conferir documentos antes do envio.</w:t>
      </w:r>
    </w:p>
    <w:p>
      <w:pPr>
        <w:pStyle w:val="Heading2"/>
      </w:pPr>
      <w:r>
        <w:t>Como explicar ao cliente brasileiro</w:t>
      </w:r>
    </w:p>
    <w:p>
      <w:r>
        <w:t>Enviar a proposta não significa aprovação automática. Vamos aguardar a análise e conferir a resposta formal da seguradora.</w:t>
      </w:r>
    </w:p>
    <w:p>
      <w:pPr>
        <w:pStyle w:val="Heading2"/>
      </w:pPr>
      <w:r>
        <w:t>Resultado esperado</w:t>
      </w:r>
    </w:p>
    <w:p>
      <w:r>
        <w:t>Cliente entende o processo de aceitação e decide com clareza sobre condições do contrato.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MED-0053</w:t>
      </w:r>
    </w:p>
    <w:p>
      <w:pPr>
        <w:pStyle w:val="ListBullet"/>
      </w:pPr>
      <w:r>
        <w:t>MED-0054</w:t>
      </w:r>
    </w:p>
    <w:p>
      <w:pPr>
        <w:pStyle w:val="ListBullet"/>
      </w:pPr>
      <w:r>
        <w:t>MED-0055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FAQ-MED-0053</w:t>
      </w:r>
    </w:p>
    <w:p>
      <w:pPr>
        <w:pStyle w:val="ListBullet"/>
      </w:pPr>
      <w:r>
        <w:t>FAQ-MED-0054</w:t>
      </w:r>
    </w:p>
    <w:p>
      <w:pPr>
        <w:pStyle w:val="ListBullet"/>
      </w:pPr>
      <w:r>
        <w:t>FAQ-MED-0055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DIALOGUE-MED-0014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MED-0053</w:t>
      </w:r>
    </w:p>
    <w:p>
      <w:pPr>
        <w:pStyle w:val="ListBullet"/>
      </w:pPr>
      <w:r>
        <w:t>MED-0054</w:t>
      </w:r>
    </w:p>
    <w:p>
      <w:pPr>
        <w:pStyle w:val="ListBullet"/>
      </w:pPr>
      <w:r>
        <w:t>MED-0055</w:t>
      </w:r>
    </w:p>
    <w:p>
      <w:pPr>
        <w:pStyle w:val="ListBullet"/>
      </w:pPr>
      <w:r>
        <w:t>FAQ-MED-0053</w:t>
      </w:r>
    </w:p>
    <w:p>
      <w:pPr>
        <w:pStyle w:val="ListBullet"/>
      </w:pPr>
      <w:r>
        <w:t>FAQ-MED-0054</w:t>
      </w:r>
    </w:p>
    <w:p>
      <w:pPr>
        <w:pStyle w:val="ListBullet"/>
      </w:pPr>
      <w:r>
        <w:t>FAQ-MED-0055</w:t>
      </w:r>
    </w:p>
    <w:p>
      <w:pPr>
        <w:pStyle w:val="ListBullet"/>
      </w:pPr>
      <w:r>
        <w:t>DIALOGUE-MED-0014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contratacao</w:t>
      </w:r>
    </w:p>
    <w:p>
      <w:pPr>
        <w:pStyle w:val="ListBullet"/>
      </w:pPr>
      <w:r>
        <w:t>avaliacao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`13_Dialogues/MED/DIALOGUE-MED-0014.md`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CASE-MED-0024 - Cliente quer alterar contrato recém emitido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CASE-MED-0024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quer alterar contrato recém emitido.</w:t>
      </w:r>
    </w:p>
    <w:p>
      <w:pPr>
        <w:pStyle w:val="Heading2"/>
      </w:pPr>
      <w:r>
        <w:t>Problema</w:t>
      </w:r>
    </w:p>
    <w:p>
      <w:r>
        <w:t>Cliente pode confundir proposta, aceitação, início de contrato, condição especial ou alteração posterior.</w:t>
      </w:r>
    </w:p>
    <w:p>
      <w:pPr>
        <w:pStyle w:val="Heading2"/>
      </w:pPr>
      <w:r>
        <w:t>Análise</w:t>
      </w:r>
    </w:p>
    <w:p>
      <w:r>
        <w:t>A contratação de seguro médico exige declaração correta, análise da seguradora e confirmação formal das condições aceitas.</w:t>
      </w:r>
    </w:p>
    <w:p>
      <w:pPr>
        <w:pStyle w:val="Heading2"/>
      </w:pPr>
      <w:r>
        <w:t>Orientação ao corretor</w:t>
      </w:r>
    </w:p>
    <w:p>
      <w:r>
        <w:t>Explicar cada etapa sem prometer aprovação, registrar dúvidas do cliente e conferir documentos antes do envio.</w:t>
      </w:r>
    </w:p>
    <w:p>
      <w:pPr>
        <w:pStyle w:val="Heading2"/>
      </w:pPr>
      <w:r>
        <w:t>Como explicar ao cliente brasileiro</w:t>
      </w:r>
    </w:p>
    <w:p>
      <w:r>
        <w:t>Enviar a proposta não significa aprovação automática. Vamos aguardar a análise e conferir a resposta formal da seguradora.</w:t>
      </w:r>
    </w:p>
    <w:p>
      <w:pPr>
        <w:pStyle w:val="Heading2"/>
      </w:pPr>
      <w:r>
        <w:t>Resultado esperado</w:t>
      </w:r>
    </w:p>
    <w:p>
      <w:r>
        <w:t>Cliente entende o processo de aceitação e decide com clareza sobre condições do contrato.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MED-0055</w:t>
      </w:r>
    </w:p>
    <w:p>
      <w:pPr>
        <w:pStyle w:val="ListBullet"/>
      </w:pPr>
      <w:r>
        <w:t>MED-0056</w:t>
      </w:r>
    </w:p>
    <w:p>
      <w:pPr>
        <w:pStyle w:val="ListBullet"/>
      </w:pPr>
      <w:r>
        <w:t>MED-0057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FAQ-MED-0055</w:t>
      </w:r>
    </w:p>
    <w:p>
      <w:pPr>
        <w:pStyle w:val="ListBullet"/>
      </w:pPr>
      <w:r>
        <w:t>FAQ-MED-0056</w:t>
      </w:r>
    </w:p>
    <w:p>
      <w:pPr>
        <w:pStyle w:val="ListBullet"/>
      </w:pPr>
      <w:r>
        <w:t>FAQ-MED-0057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DIALOGUE-MED-0014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MED-0055</w:t>
      </w:r>
    </w:p>
    <w:p>
      <w:pPr>
        <w:pStyle w:val="ListBullet"/>
      </w:pPr>
      <w:r>
        <w:t>MED-0056</w:t>
      </w:r>
    </w:p>
    <w:p>
      <w:pPr>
        <w:pStyle w:val="ListBullet"/>
      </w:pPr>
      <w:r>
        <w:t>MED-0057</w:t>
      </w:r>
    </w:p>
    <w:p>
      <w:pPr>
        <w:pStyle w:val="ListBullet"/>
      </w:pPr>
      <w:r>
        <w:t>FAQ-MED-0055</w:t>
      </w:r>
    </w:p>
    <w:p>
      <w:pPr>
        <w:pStyle w:val="ListBullet"/>
      </w:pPr>
      <w:r>
        <w:t>FAQ-MED-0056</w:t>
      </w:r>
    </w:p>
    <w:p>
      <w:pPr>
        <w:pStyle w:val="ListBullet"/>
      </w:pPr>
      <w:r>
        <w:t>FAQ-MED-0057</w:t>
      </w:r>
    </w:p>
    <w:p>
      <w:pPr>
        <w:pStyle w:val="ListBullet"/>
      </w:pPr>
      <w:r>
        <w:t>DIALOGUE-MED-0014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contratacao</w:t>
      </w:r>
    </w:p>
    <w:p>
      <w:pPr>
        <w:pStyle w:val="ListBullet"/>
      </w:pPr>
      <w:r>
        <w:t>avaliacao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`13_Dialogues/MED/DIALOGUE-MED-0014.md`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Yu Gothic"/>
      <w:b/>
      <w:bCs/>
      <w:i/>
      <w:iCs/>
      <w:color w:val="4F81BD" w:themeColor="accent1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Yu Gothic"/>
      <w:color w:val="243F60" w:themeColor="accent1" w:themeShade="7F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Yu Gothic"/>
      <w:i/>
      <w:iCs/>
      <w:color w:val="243F60" w:themeColor="accent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Yu Gothic"/>
      <w:color w:val="4F81BD" w:themeColor="accent1"/>
      <w:sz w:val="1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Yu Gothic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Yu Gothic"/>
      <w:color w:val="17365D" w:themeColor="text2" w:themeShade="BF"/>
      <w:spacing w:val="5"/>
      <w:kern w:val="28"/>
      <w:sz w:val="1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Yu Gothic"/>
      <w:i/>
      <w:iCs/>
      <w:color w:val="4F81BD" w:themeColor="accent1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Yu Gothic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Yu Gothi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Yu Gothic"/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Yu Gothic"/>
      <w:sz w:val="1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Yu Gothic"/>
      <w:sz w:val="18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Yu Gothic"/>
      <w:sz w:val="18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Yu Gothic"/>
      <w:sz w:val="1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Yu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Yu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Yu Gothic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Yu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Yu Gothic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Yu Gothic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Yu Gothic"/>
      <w:sz w:val="1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Yu Gothic"/>
      <w:sz w:val="1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Yu Gothic"/>
      <w:sz w:val="1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Yu Gothic"/>
      <w:sz w:val="1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Yu Gothic"/>
      <w:i/>
      <w:iCs/>
      <w:color w:val="000000" w:themeColor="text1"/>
      <w:sz w:val="1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Yu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Yu Gothic"/>
      <w:b/>
      <w:bCs/>
      <w:i/>
      <w:iCs/>
      <w:color w:val="4F81BD" w:themeColor="accent1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Yu Gothic"/>
      <w:sz w:val="1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