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VIDA_CASES_0033_0040 - Quinto ciclo de estudos de caso VIDA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CASE-VIDA-0033 - Cliente mudou endereço e sobrenome após casamento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CASE-VIDA-0033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Cliente mudou endereço e sobrenome após casamento.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VIDA-0082 - 契約内容変更 - Alteração do conteúdo do contrato</w:t>
      </w:r>
    </w:p>
    <w:p>
      <w:pPr>
        <w:pStyle w:val="ListBullet"/>
      </w:pPr>
      <w:r>
        <w:t>VIDA-0083 - 住所変更 - Alteração de endereço</w:t>
      </w:r>
    </w:p>
    <w:p>
      <w:pPr>
        <w:pStyle w:val="ListBullet"/>
      </w:pPr>
      <w:r>
        <w:t>VIDA-0084 - 改姓 - Alteração de sobrenome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FAQ-VIDA-0082</w:t>
      </w:r>
    </w:p>
    <w:p>
      <w:pPr>
        <w:pStyle w:val="ListBullet"/>
      </w:pPr>
      <w:r>
        <w:t>FAQ-VIDA-0083</w:t>
      </w:r>
    </w:p>
    <w:p>
      <w:pPr>
        <w:pStyle w:val="ListBullet"/>
      </w:pPr>
      <w:r>
        <w:t>FAQ-VIDA-0084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VIDA-0082</w:t>
      </w:r>
    </w:p>
    <w:p>
      <w:pPr>
        <w:pStyle w:val="ListBullet"/>
      </w:pPr>
      <w:r>
        <w:t>VIDA-0083</w:t>
      </w:r>
    </w:p>
    <w:p>
      <w:pPr>
        <w:pStyle w:val="ListBullet"/>
      </w:pPr>
      <w:r>
        <w:t>VIDA-0084</w:t>
      </w:r>
    </w:p>
    <w:p>
      <w:pPr>
        <w:pStyle w:val="ListBullet"/>
      </w:pPr>
      <w:r>
        <w:t>FAQ-VIDA-0082</w:t>
      </w:r>
    </w:p>
    <w:p>
      <w:pPr>
        <w:pStyle w:val="ListBullet"/>
      </w:pPr>
      <w:r>
        <w:t>FAQ-VIDA-0083</w:t>
      </w:r>
    </w:p>
    <w:p>
      <w:pPr>
        <w:pStyle w:val="ListBullet"/>
      </w:pPr>
      <w:r>
        <w:t>FAQ-VIDA-0084</w:t>
      </w:r>
    </w:p>
    <w:p>
      <w:pPr>
        <w:pStyle w:val="ListBullet"/>
      </w:pPr>
      <w:r>
        <w:t>DIALOGUE-VIDA-0021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CASE-VIDA-0034 - Contrato precisa de conferência periódica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CASE-VIDA-0034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Contrato precisa de conferência periódica.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VIDA-0081 - 契約内容確認 - Confirmação do conteúdo do contrato</w:t>
      </w:r>
    </w:p>
    <w:p>
      <w:pPr>
        <w:pStyle w:val="ListBullet"/>
      </w:pPr>
      <w:r>
        <w:t>VIDA-0099 - 定期点検 - Revisão periódica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FAQ-VIDA-0081</w:t>
      </w:r>
    </w:p>
    <w:p>
      <w:pPr>
        <w:pStyle w:val="ListBullet"/>
      </w:pPr>
      <w:r>
        <w:t>FAQ-VIDA-0099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DIALOGUE-VIDA-0025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VIDA-0081</w:t>
      </w:r>
    </w:p>
    <w:p>
      <w:pPr>
        <w:pStyle w:val="ListBullet"/>
      </w:pPr>
      <w:r>
        <w:t>VIDA-0099</w:t>
      </w:r>
    </w:p>
    <w:p>
      <w:pPr>
        <w:pStyle w:val="ListBullet"/>
      </w:pPr>
      <w:r>
        <w:t>FAQ-VIDA-0081</w:t>
      </w:r>
    </w:p>
    <w:p>
      <w:pPr>
        <w:pStyle w:val="ListBullet"/>
      </w:pPr>
      <w:r>
        <w:t>FAQ-VIDA-0099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DIALOGUE-VIDA-0025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CASE-VIDA-0035 - Cliente quer trocar beneficiário e perdeu a apólice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CASE-VIDA-0035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Cliente quer trocar beneficiário e perdeu a apólice.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VIDA-0085 - 受取人変更 - Alteração de beneficiário</w:t>
      </w:r>
    </w:p>
    <w:p>
      <w:pPr>
        <w:pStyle w:val="ListBullet"/>
      </w:pPr>
      <w:r>
        <w:t>VIDA-0087 - 保険証券 - Apólice do seguro de vida</w:t>
      </w:r>
    </w:p>
    <w:p>
      <w:pPr>
        <w:pStyle w:val="ListBullet"/>
      </w:pPr>
      <w:r>
        <w:t>VIDA-0088 - 証券再発行 - Reemissão da apólice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FAQ-VIDA-0085</w:t>
      </w:r>
    </w:p>
    <w:p>
      <w:pPr>
        <w:pStyle w:val="ListBullet"/>
      </w:pPr>
      <w:r>
        <w:t>FAQ-VIDA-0087</w:t>
      </w:r>
    </w:p>
    <w:p>
      <w:pPr>
        <w:pStyle w:val="ListBullet"/>
      </w:pPr>
      <w:r>
        <w:t>FAQ-VIDA-0088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VIDA-0085</w:t>
      </w:r>
    </w:p>
    <w:p>
      <w:pPr>
        <w:pStyle w:val="ListBullet"/>
      </w:pPr>
      <w:r>
        <w:t>VIDA-0087</w:t>
      </w:r>
    </w:p>
    <w:p>
      <w:pPr>
        <w:pStyle w:val="ListBullet"/>
      </w:pPr>
      <w:r>
        <w:t>VIDA-0088</w:t>
      </w:r>
    </w:p>
    <w:p>
      <w:pPr>
        <w:pStyle w:val="ListBullet"/>
      </w:pPr>
      <w:r>
        <w:t>FAQ-VIDA-0085</w:t>
      </w:r>
    </w:p>
    <w:p>
      <w:pPr>
        <w:pStyle w:val="ListBullet"/>
      </w:pPr>
      <w:r>
        <w:t>FAQ-VIDA-0087</w:t>
      </w:r>
    </w:p>
    <w:p>
      <w:pPr>
        <w:pStyle w:val="ListBullet"/>
      </w:pPr>
      <w:r>
        <w:t>FAQ-VIDA-0088</w:t>
      </w:r>
    </w:p>
    <w:p>
      <w:pPr>
        <w:pStyle w:val="ListBullet"/>
      </w:pPr>
      <w:r>
        <w:t>DIALOGUE-VIDA-0022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CASE-VIDA-0036 - Cliente precisa de comprovante para 年末調整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CASE-VIDA-0036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Cliente precisa de comprovante para 年末調整.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ListBullet"/>
      </w:pPr>
      <w:r>
        <w:t>VIDA-0090 - 生命保険料控除 - Dedução de prêmio de seguro de vida</w:t>
      </w:r>
    </w:p>
    <w:p>
      <w:pPr>
        <w:pStyle w:val="ListBullet"/>
      </w:pPr>
      <w:r>
        <w:t>VIDA-0091 - 年末調整 - Ajuste fiscal de fim de ano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FAQ-VIDA-0090</w:t>
      </w:r>
    </w:p>
    <w:p>
      <w:pPr>
        <w:pStyle w:val="ListBullet"/>
      </w:pPr>
      <w:r>
        <w:t>FAQ-VIDA-0091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VIDA-0089</w:t>
      </w:r>
    </w:p>
    <w:p>
      <w:pPr>
        <w:pStyle w:val="ListBullet"/>
      </w:pPr>
      <w:r>
        <w:t>VIDA-0090</w:t>
      </w:r>
    </w:p>
    <w:p>
      <w:pPr>
        <w:pStyle w:val="ListBullet"/>
      </w:pPr>
      <w:r>
        <w:t>VIDA-0091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FAQ-VIDA-0090</w:t>
      </w:r>
    </w:p>
    <w:p>
      <w:pPr>
        <w:pStyle w:val="ListBullet"/>
      </w:pPr>
      <w:r>
        <w:t>FAQ-VIDA-0091</w:t>
      </w:r>
    </w:p>
    <w:p>
      <w:pPr>
        <w:pStyle w:val="ListBullet"/>
      </w:pPr>
      <w:r>
        <w:t>DIALOGUE-VIDA-0023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CASE-VIDA-0037 - Autônomo pergunta sobre 確定申告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CASE-VIDA-0037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Autônomo pergunta sobre 確定申告.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ListBullet"/>
      </w:pPr>
      <w:r>
        <w:t>VIDA-0092 - 確定申告 - Declaração final de imposto</w:t>
      </w:r>
    </w:p>
    <w:p>
      <w:pPr>
        <w:pStyle w:val="ListBullet"/>
      </w:pPr>
      <w:r>
        <w:t>VIDA-0093 - 税務上の取扱い - Tratamento fiscal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FAQ-VIDA-0092</w:t>
      </w:r>
    </w:p>
    <w:p>
      <w:pPr>
        <w:pStyle w:val="ListBullet"/>
      </w:pPr>
      <w:r>
        <w:t>FAQ-VIDA-0093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VIDA-0089</w:t>
      </w:r>
    </w:p>
    <w:p>
      <w:pPr>
        <w:pStyle w:val="ListBullet"/>
      </w:pPr>
      <w:r>
        <w:t>VIDA-0092</w:t>
      </w:r>
    </w:p>
    <w:p>
      <w:pPr>
        <w:pStyle w:val="ListBullet"/>
      </w:pPr>
      <w:r>
        <w:t>VIDA-0093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FAQ-VIDA-0092</w:t>
      </w:r>
    </w:p>
    <w:p>
      <w:pPr>
        <w:pStyle w:val="ListBullet"/>
      </w:pPr>
      <w:r>
        <w:t>FAQ-VIDA-0093</w:t>
      </w:r>
    </w:p>
    <w:p>
      <w:pPr>
        <w:pStyle w:val="ListBullet"/>
      </w:pPr>
      <w:r>
        <w:t>DIALOGUE-VIDA-0023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CASE-VIDA-0038 - Família recebe indenização e pergunta sobre imposto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CASE-VIDA-0038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Família recebe indenização e pergunta sobre imposto.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VIDA-0093 - 税務上の取扱い - Tratamento fiscal</w:t>
      </w:r>
    </w:p>
    <w:p>
      <w:pPr>
        <w:pStyle w:val="ListBullet"/>
      </w:pPr>
      <w:r>
        <w:t>VIDA-0094 - 保険金の税金 - Imposto sobre indenização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FAQ-VIDA-0093</w:t>
      </w:r>
    </w:p>
    <w:p>
      <w:pPr>
        <w:pStyle w:val="ListBullet"/>
      </w:pPr>
      <w:r>
        <w:t>FAQ-VIDA-0094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VIDA-0093</w:t>
      </w:r>
    </w:p>
    <w:p>
      <w:pPr>
        <w:pStyle w:val="ListBullet"/>
      </w:pPr>
      <w:r>
        <w:t>VIDA-0094</w:t>
      </w:r>
    </w:p>
    <w:p>
      <w:pPr>
        <w:pStyle w:val="ListBullet"/>
      </w:pPr>
      <w:r>
        <w:t>FAQ-VIDA-0093</w:t>
      </w:r>
    </w:p>
    <w:p>
      <w:pPr>
        <w:pStyle w:val="ListBullet"/>
      </w:pPr>
      <w:r>
        <w:t>FAQ-VIDA-0094</w:t>
      </w:r>
    </w:p>
    <w:p>
      <w:pPr>
        <w:pStyle w:val="ListBullet"/>
      </w:pPr>
      <w:r>
        <w:t>DIALOGUE-VIDA-0024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CASE-VIDA-0039 - Cliente cancela seguro com resgate e pergunta valor líquido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CASE-VIDA-0039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Cliente cancela seguro com resgate e pergunta valor líquido.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VIDA-0095 - 解約返戻金の税金 - Imposto sobre valor de resgate</w:t>
      </w:r>
    </w:p>
    <w:p>
      <w:pPr>
        <w:pStyle w:val="ListBullet"/>
      </w:pPr>
      <w:r>
        <w:t>VIDA-0017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FAQ-VIDA-0095</w:t>
      </w:r>
    </w:p>
    <w:p>
      <w:pPr>
        <w:pStyle w:val="ListBullet"/>
      </w:pPr>
      <w:r>
        <w:t>FAQ-VIDA-0017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VIDA-0095</w:t>
      </w:r>
    </w:p>
    <w:p>
      <w:pPr>
        <w:pStyle w:val="ListBullet"/>
      </w:pPr>
      <w:r>
        <w:t>VIDA-0017</w:t>
      </w:r>
    </w:p>
    <w:p>
      <w:pPr>
        <w:pStyle w:val="ListBullet"/>
      </w:pPr>
      <w:r>
        <w:t>FAQ-VIDA-0095</w:t>
      </w:r>
    </w:p>
    <w:p>
      <w:pPr>
        <w:pStyle w:val="ListBullet"/>
      </w:pPr>
      <w:r>
        <w:t>FAQ-VIDA-0017</w:t>
      </w:r>
    </w:p>
    <w:p>
      <w:pPr>
        <w:pStyle w:val="ListBullet"/>
      </w:pPr>
      <w:r>
        <w:t>DIALOGUE-VIDA-0024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CASE-VIDA-0040 - Pós-venda identifica necessidade de atualizar beneficiário e proteção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CASE-VIDA-0040</w:t>
      </w:r>
    </w:p>
    <w:p>
      <w:pPr>
        <w:pStyle w:val="Heading2"/>
      </w:pPr>
      <w:r>
        <w:t>Produto ou categoria</w:t>
      </w:r>
    </w:p>
    <w:p>
      <w:r>
        <w:t>VIDA</w:t>
      </w:r>
    </w:p>
    <w:p>
      <w:pPr>
        <w:pStyle w:val="Heading2"/>
      </w:pPr>
      <w:r>
        <w:t>Situação</w:t>
      </w:r>
    </w:p>
    <w:p>
      <w:r>
        <w:t>Pós-venda identifica necessidade de atualizar beneficiário e proteção.</w:t>
      </w:r>
    </w:p>
    <w:p>
      <w:pPr>
        <w:pStyle w:val="Heading2"/>
      </w:pPr>
      <w:r>
        <w:t>Problema</w:t>
      </w:r>
    </w:p>
    <w:p>
      <w:r>
        <w:t>Cliente pode deixar contrato desatualizado, perder documentos, confundir orientação fiscal ou não revisar beneficiários e proteção.</w:t>
      </w:r>
    </w:p>
    <w:p>
      <w:pPr>
        <w:pStyle w:val="Heading2"/>
      </w:pPr>
      <w:r>
        <w:t>Análise</w:t>
      </w:r>
    </w:p>
    <w:p>
      <w:r>
        <w:t>Seguro de vida exige acompanhamento contínuo. Mudanças familiares, dados cadastrais, documentos fiscais e revisão periódica devem ser tratados de forma organizada.</w:t>
      </w:r>
    </w:p>
    <w:p>
      <w:pPr>
        <w:pStyle w:val="Heading2"/>
      </w:pPr>
      <w:r>
        <w:t>Orientação ao corretor</w:t>
      </w:r>
    </w:p>
    <w:p>
      <w:r>
        <w:t>Registrar atendimento, orientar documentos, separar temas fiscais de decisão tributária especializada e manter rotina de revisão.</w:t>
      </w:r>
    </w:p>
    <w:p>
      <w:pPr>
        <w:pStyle w:val="Heading2"/>
      </w:pPr>
      <w:r>
        <w:t>Como explicar ao cliente brasileiro</w:t>
      </w:r>
    </w:p>
    <w:p>
      <w:r>
        <w:t>Depois de contratar, precisamos manter o seguro atualizado para que ele funcione corretamente quando for necessário.</w:t>
      </w:r>
    </w:p>
    <w:p>
      <w:pPr>
        <w:pStyle w:val="Heading2"/>
      </w:pPr>
      <w:r>
        <w:t>Resultado esperado</w:t>
      </w:r>
    </w:p>
    <w:p>
      <w:r>
        <w:t>Cliente entende a importância do pós-venda e mantém contrato, documentos e beneficiários coerentes.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VIDA-0097 - 個人情報保護 - Proteção de dados pessoais</w:t>
      </w:r>
    </w:p>
    <w:p>
      <w:pPr>
        <w:pStyle w:val="ListBullet"/>
      </w:pPr>
      <w:r>
        <w:t>VIDA-0098 - アフターフォロー - Acompanhamento pós-venda</w:t>
      </w:r>
    </w:p>
    <w:p>
      <w:pPr>
        <w:pStyle w:val="ListBullet"/>
      </w:pPr>
      <w:r>
        <w:t>VIDA-0099 - 定期点検 - Revisão periódica</w:t>
      </w:r>
    </w:p>
    <w:p>
      <w:pPr>
        <w:pStyle w:val="ListBullet"/>
      </w:pPr>
      <w:r>
        <w:t>VIDA-0100 - 顧客対応記録 - Registro de atendimento ao cliente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FAQ-VIDA-0097</w:t>
      </w:r>
    </w:p>
    <w:p>
      <w:pPr>
        <w:pStyle w:val="ListBullet"/>
      </w:pPr>
      <w:r>
        <w:t>FAQ-VIDA-0098</w:t>
      </w:r>
    </w:p>
    <w:p>
      <w:pPr>
        <w:pStyle w:val="ListBullet"/>
      </w:pPr>
      <w:r>
        <w:t>FAQ-VIDA-0099</w:t>
      </w:r>
    </w:p>
    <w:p>
      <w:pPr>
        <w:pStyle w:val="ListBullet"/>
      </w:pPr>
      <w:r>
        <w:t>FAQ-VIDA-0100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DIALOGUE-VIDA-0025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VIDA-0097</w:t>
      </w:r>
    </w:p>
    <w:p>
      <w:pPr>
        <w:pStyle w:val="ListBullet"/>
      </w:pPr>
      <w:r>
        <w:t>VIDA-0098</w:t>
      </w:r>
    </w:p>
    <w:p>
      <w:pPr>
        <w:pStyle w:val="ListBullet"/>
      </w:pPr>
      <w:r>
        <w:t>VIDA-0099</w:t>
      </w:r>
    </w:p>
    <w:p>
      <w:pPr>
        <w:pStyle w:val="ListBullet"/>
      </w:pPr>
      <w:r>
        <w:t>VIDA-0100</w:t>
      </w:r>
    </w:p>
    <w:p>
      <w:pPr>
        <w:pStyle w:val="ListBullet"/>
      </w:pPr>
      <w:r>
        <w:t>FAQ-VIDA-0097</w:t>
      </w:r>
    </w:p>
    <w:p>
      <w:pPr>
        <w:pStyle w:val="ListBullet"/>
      </w:pPr>
      <w:r>
        <w:t>FAQ-VIDA-0098</w:t>
      </w:r>
    </w:p>
    <w:p>
      <w:pPr>
        <w:pStyle w:val="ListBullet"/>
      </w:pPr>
      <w:r>
        <w:t>FAQ-VIDA-0099</w:t>
      </w:r>
    </w:p>
    <w:p>
      <w:pPr>
        <w:pStyle w:val="ListBullet"/>
      </w:pPr>
      <w:r>
        <w:t>FAQ-VIDA-0100</w:t>
      </w:r>
    </w:p>
    <w:p>
      <w:pPr>
        <w:pStyle w:val="ListBullet"/>
      </w:pPr>
      <w:r>
        <w:t>DIALOGUE-VIDA-0025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Quinto ciclo de estudos de caso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