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VIDA_CASES_0017_0024 - Terceiro ciclo de estudos de caso VIDA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CASE-VIDA-0017 - Cliente acha que proposta já garante cobertura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CASE-VIDA-0017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acha que proposta já garante cobertura.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VIDA-0020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FAQ-VIDA-0041</w:t>
      </w:r>
    </w:p>
    <w:p>
      <w:pPr>
        <w:pStyle w:val="ListBullet"/>
      </w:pPr>
      <w:r>
        <w:t>FAQ-VIDA-0020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DIALOGUE-VIDA-0011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VIDA-0041</w:t>
      </w:r>
    </w:p>
    <w:p>
      <w:pPr>
        <w:pStyle w:val="ListBullet"/>
      </w:pPr>
      <w:r>
        <w:t>VIDA-0020</w:t>
      </w:r>
    </w:p>
    <w:p>
      <w:pPr>
        <w:pStyle w:val="ListBullet"/>
      </w:pPr>
      <w:r>
        <w:t>FAQ-VIDA-0041</w:t>
      </w:r>
    </w:p>
    <w:p>
      <w:pPr>
        <w:pStyle w:val="ListBullet"/>
      </w:pPr>
      <w:r>
        <w:t>FAQ-VIDA-0020</w:t>
      </w:r>
    </w:p>
    <w:p>
      <w:pPr>
        <w:pStyle w:val="ListBullet"/>
      </w:pPr>
      <w:r>
        <w:t>DIALOGUE-VIDA-0011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`14_FAQ/VIDA/FAQ-VIDA-0041.md`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CASE-VIDA-0018 - Cliente tem doença preexistente e dúvida sobre declaração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CASE-VIDA-0018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tem doença preexistente e dúvida sobre declaração.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VIDA-0045 - 通院歴 - Histórico de consultas ou tratamentos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FAQ-VIDA-0042</w:t>
      </w:r>
    </w:p>
    <w:p>
      <w:pPr>
        <w:pStyle w:val="ListBullet"/>
      </w:pPr>
      <w:r>
        <w:t>FAQ-VIDA-0043</w:t>
      </w:r>
    </w:p>
    <w:p>
      <w:pPr>
        <w:pStyle w:val="ListBullet"/>
      </w:pPr>
      <w:r>
        <w:t>FAQ-VIDA-0044</w:t>
      </w:r>
    </w:p>
    <w:p>
      <w:pPr>
        <w:pStyle w:val="ListBullet"/>
      </w:pPr>
      <w:r>
        <w:t>FAQ-VIDA-0045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DIALOGUE-VIDA-0012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VIDA-0042</w:t>
      </w:r>
    </w:p>
    <w:p>
      <w:pPr>
        <w:pStyle w:val="ListBullet"/>
      </w:pPr>
      <w:r>
        <w:t>VIDA-0043</w:t>
      </w:r>
    </w:p>
    <w:p>
      <w:pPr>
        <w:pStyle w:val="ListBullet"/>
      </w:pPr>
      <w:r>
        <w:t>VIDA-0044</w:t>
      </w:r>
    </w:p>
    <w:p>
      <w:pPr>
        <w:pStyle w:val="ListBullet"/>
      </w:pPr>
      <w:r>
        <w:t>VIDA-0045</w:t>
      </w:r>
    </w:p>
    <w:p>
      <w:pPr>
        <w:pStyle w:val="ListBullet"/>
      </w:pPr>
      <w:r>
        <w:t>FAQ-VIDA-0042</w:t>
      </w:r>
    </w:p>
    <w:p>
      <w:pPr>
        <w:pStyle w:val="ListBullet"/>
      </w:pPr>
      <w:r>
        <w:t>FAQ-VIDA-0043</w:t>
      </w:r>
    </w:p>
    <w:p>
      <w:pPr>
        <w:pStyle w:val="ListBullet"/>
      </w:pPr>
      <w:r>
        <w:t>FAQ-VIDA-0044</w:t>
      </w:r>
    </w:p>
    <w:p>
      <w:pPr>
        <w:pStyle w:val="ListBullet"/>
      </w:pPr>
      <w:r>
        <w:t>FAQ-VIDA-0045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DIALOGUE-VIDA-0012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`14_FAQ/VIDA/FAQ-VIDA-0042.md`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CASE-VIDA-0019 - Cliente teve internação ou cirurgia anterior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CASE-VIDA-0019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Cliente teve internação ou cirurgia anterior.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VIDA-0048 - 健康診断結果 - Resultado de exame de saúde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FAQ-VIDA-0046</w:t>
      </w:r>
    </w:p>
    <w:p>
      <w:pPr>
        <w:pStyle w:val="ListBullet"/>
      </w:pPr>
      <w:r>
        <w:t>FAQ-VIDA-0047</w:t>
      </w:r>
    </w:p>
    <w:p>
      <w:pPr>
        <w:pStyle w:val="ListBullet"/>
      </w:pPr>
      <w:r>
        <w:t>FAQ-VIDA-0048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DIALOGUE-VIDA-0012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VIDA-0046</w:t>
      </w:r>
    </w:p>
    <w:p>
      <w:pPr>
        <w:pStyle w:val="ListBullet"/>
      </w:pPr>
      <w:r>
        <w:t>VIDA-0047</w:t>
      </w:r>
    </w:p>
    <w:p>
      <w:pPr>
        <w:pStyle w:val="ListBullet"/>
      </w:pPr>
      <w:r>
        <w:t>VIDA-0048</w:t>
      </w:r>
    </w:p>
    <w:p>
      <w:pPr>
        <w:pStyle w:val="ListBullet"/>
      </w:pPr>
      <w:r>
        <w:t>FAQ-VIDA-0046</w:t>
      </w:r>
    </w:p>
    <w:p>
      <w:pPr>
        <w:pStyle w:val="ListBullet"/>
      </w:pPr>
      <w:r>
        <w:t>FAQ-VIDA-0047</w:t>
      </w:r>
    </w:p>
    <w:p>
      <w:pPr>
        <w:pStyle w:val="ListBullet"/>
      </w:pPr>
      <w:r>
        <w:t>FAQ-VIDA-0048</w:t>
      </w:r>
    </w:p>
    <w:p>
      <w:pPr>
        <w:pStyle w:val="ListBullet"/>
      </w:pPr>
      <w:r>
        <w:t>DIALOGUE-VIDA-0012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`14_FAQ/VIDA/FAQ-VIDA-0046.md`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CASE-VIDA-0020 - Seguradora aceita com prêmio adicional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CASE-VIDA-0020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Seguradora aceita com prêmio adicional.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VIDA-0051 - 特別保険料 - Prêmio adicional especial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FAQ-VIDA-0049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FAQ-VIDA-0051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VIDA-0049</w:t>
      </w:r>
    </w:p>
    <w:p>
      <w:pPr>
        <w:pStyle w:val="ListBullet"/>
      </w:pPr>
      <w:r>
        <w:t>VIDA-0050</w:t>
      </w:r>
    </w:p>
    <w:p>
      <w:pPr>
        <w:pStyle w:val="ListBullet"/>
      </w:pPr>
      <w:r>
        <w:t>VIDA-0051</w:t>
      </w:r>
    </w:p>
    <w:p>
      <w:pPr>
        <w:pStyle w:val="ListBullet"/>
      </w:pPr>
      <w:r>
        <w:t>FAQ-VIDA-0049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FAQ-VIDA-0051</w:t>
      </w:r>
    </w:p>
    <w:p>
      <w:pPr>
        <w:pStyle w:val="ListBullet"/>
      </w:pPr>
      <w:r>
        <w:t>DIALOGUE-VIDA-0013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`14_FAQ/VIDA/FAQ-VIDA-0049.md`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CASE-VIDA-0021 - Seguradora aceita com exclusão específica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CASE-VIDA-0021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Seguradora aceita com exclusão específica.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FAQ-VIDA-0052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DIALOGUE-VIDA-0013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VIDA-0050</w:t>
      </w:r>
    </w:p>
    <w:p>
      <w:pPr>
        <w:pStyle w:val="ListBullet"/>
      </w:pPr>
      <w:r>
        <w:t>VIDA-0052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FAQ-VIDA-0052</w:t>
      </w:r>
    </w:p>
    <w:p>
      <w:pPr>
        <w:pStyle w:val="ListBullet"/>
      </w:pPr>
      <w:r>
        <w:t>DIALOGUE-VIDA-0013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`14_FAQ/VIDA/FAQ-VIDA-0050.md`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CASE-VIDA-0022 - Contratação recusada após análise de risco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CASE-VIDA-0022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Contratação recusada após análise de risco.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VIDA-0049 - 引受審査 - Análise de aceitação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FAQ-VIDA-0053</w:t>
      </w:r>
    </w:p>
    <w:p>
      <w:pPr>
        <w:pStyle w:val="ListBullet"/>
      </w:pPr>
      <w:r>
        <w:t>FAQ-VIDA-0049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VIDA-0053</w:t>
      </w:r>
    </w:p>
    <w:p>
      <w:pPr>
        <w:pStyle w:val="ListBullet"/>
      </w:pPr>
      <w:r>
        <w:t>VIDA-0049</w:t>
      </w:r>
    </w:p>
    <w:p>
      <w:pPr>
        <w:pStyle w:val="ListBullet"/>
      </w:pPr>
      <w:r>
        <w:t>FAQ-VIDA-0053</w:t>
      </w:r>
    </w:p>
    <w:p>
      <w:pPr>
        <w:pStyle w:val="ListBullet"/>
      </w:pPr>
      <w:r>
        <w:t>FAQ-VIDA-0049</w:t>
      </w:r>
    </w:p>
    <w:p>
      <w:pPr>
        <w:pStyle w:val="ListBullet"/>
      </w:pPr>
      <w:r>
        <w:t>DIALOGUE-VIDA-0014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`14_FAQ/VIDA/FAQ-VIDA-0053.md`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CASE-VIDA-0023 - Contrato não efetivado ou desistência dentro da regra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CASE-VIDA-0023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Contrato não efetivado ou desistência dentro da regra.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VIDA-0055 - クーリングオフ - Direito de desistência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FAQ-VIDA-0054</w:t>
      </w:r>
    </w:p>
    <w:p>
      <w:pPr>
        <w:pStyle w:val="ListBullet"/>
      </w:pPr>
      <w:r>
        <w:t>FAQ-VIDA-0055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DIALOGUE-VIDA-0014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VIDA-0054</w:t>
      </w:r>
    </w:p>
    <w:p>
      <w:pPr>
        <w:pStyle w:val="ListBullet"/>
      </w:pPr>
      <w:r>
        <w:t>VIDA-0055</w:t>
      </w:r>
    </w:p>
    <w:p>
      <w:pPr>
        <w:pStyle w:val="ListBullet"/>
      </w:pPr>
      <w:r>
        <w:t>FAQ-VIDA-0054</w:t>
      </w:r>
    </w:p>
    <w:p>
      <w:pPr>
        <w:pStyle w:val="ListBullet"/>
      </w:pPr>
      <w:r>
        <w:t>FAQ-VIDA-0055</w:t>
      </w:r>
    </w:p>
    <w:p>
      <w:pPr>
        <w:pStyle w:val="ListBullet"/>
      </w:pPr>
      <w:r>
        <w:t>DIALOGUE-VIDA-0014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`14_FAQ/VIDA/FAQ-VIDA-0054.md`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CASE-VIDA-0024 - Contrato perde validade e cliente quer reduzir ou reativar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CASE-VIDA-0024</w:t>
      </w:r>
    </w:p>
    <w:p>
      <w:pPr>
        <w:pStyle w:val="Heading2"/>
      </w:pPr>
      <w:r>
        <w:t>Produto ou categoria</w:t>
      </w:r>
    </w:p>
    <w:p>
      <w:r>
        <w:t>VIDA</w:t>
      </w:r>
    </w:p>
    <w:p>
      <w:pPr>
        <w:pStyle w:val="Heading2"/>
      </w:pPr>
      <w:r>
        <w:t>Situação</w:t>
      </w:r>
    </w:p>
    <w:p>
      <w:r>
        <w:t>Contrato perde validade e cliente quer reduzir ou reativar.</w:t>
      </w:r>
    </w:p>
    <w:p>
      <w:pPr>
        <w:pStyle w:val="Heading2"/>
      </w:pPr>
      <w:r>
        <w:t>Problema</w:t>
      </w:r>
    </w:p>
    <w:p>
      <w:r>
        <w:t>Cliente pode criar expectativa incorreta sobre aceitação automática, declaração de saúde, condições especiais ou continuidade do contrato.</w:t>
      </w:r>
    </w:p>
    <w:p>
      <w:pPr>
        <w:pStyle w:val="Heading2"/>
      </w:pPr>
      <w:r>
        <w:t>Análise</w:t>
      </w:r>
    </w:p>
    <w:p>
      <w:r>
        <w:t>Seguro de vida depende de proposta, declaração correta, análise da seguradora, pagamento e cumprimento das condições contratuais.</w:t>
      </w:r>
    </w:p>
    <w:p>
      <w:pPr>
        <w:pStyle w:val="Heading2"/>
      </w:pPr>
      <w:r>
        <w:t>Orientação ao corretor</w:t>
      </w:r>
    </w:p>
    <w:p>
      <w:r>
        <w:t>Explicar etapas antes de prometer cobertura. Conferir histórico médico, documentos, aceitação e alternativas quando houver condição ou recusa.</w:t>
      </w:r>
    </w:p>
    <w:p>
      <w:pPr>
        <w:pStyle w:val="Heading2"/>
      </w:pPr>
      <w:r>
        <w:t>Como explicar ao cliente brasileiro</w:t>
      </w:r>
    </w:p>
    <w:p>
      <w:r>
        <w:t>A contratação passa por análise. O mais importante é responder corretamente e esperar a confirmação da seguradora.</w:t>
      </w:r>
    </w:p>
    <w:p>
      <w:pPr>
        <w:pStyle w:val="Heading2"/>
      </w:pPr>
      <w:r>
        <w:t>Resultado esperado</w:t>
      </w:r>
    </w:p>
    <w:p>
      <w:r>
        <w:t>Cliente entende o processo de aceitação e evita problemas por informação incompleta ou expectativa indevida.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VIDA-0059 - 払済保険 - Seguro quitado com cobertura reduzida</w:t>
      </w:r>
    </w:p>
    <w:p>
      <w:pPr>
        <w:pStyle w:val="ListBullet"/>
      </w:pPr>
      <w:r>
        <w:t>VIDA-0060 - 延長定期保険 - Seguro temporário prorrogado</w:t>
      </w:r>
    </w:p>
    <w:p>
      <w:pPr>
        <w:pStyle w:val="Heading2"/>
      </w:pPr>
      <w:r>
        <w:t>FAQs relacionadas</w:t>
      </w:r>
    </w:p>
    <w:p>
      <w:pPr>
        <w:pStyle w:val="ListBullet"/>
      </w:pPr>
      <w:r>
        <w:t>FAQ-VIDA-0056</w:t>
      </w:r>
    </w:p>
    <w:p>
      <w:pPr>
        <w:pStyle w:val="ListBullet"/>
      </w:pPr>
      <w:r>
        <w:t>FAQ-VIDA-0057</w:t>
      </w:r>
    </w:p>
    <w:p>
      <w:pPr>
        <w:pStyle w:val="ListBullet"/>
      </w:pPr>
      <w:r>
        <w:t>FAQ-VIDA-0058</w:t>
      </w:r>
    </w:p>
    <w:p>
      <w:pPr>
        <w:pStyle w:val="ListBullet"/>
      </w:pPr>
      <w:r>
        <w:t>FAQ-VIDA-0059</w:t>
      </w:r>
    </w:p>
    <w:p>
      <w:pPr>
        <w:pStyle w:val="ListBullet"/>
      </w:pPr>
      <w:r>
        <w:t>FAQ-VIDA-0060</w:t>
      </w:r>
    </w:p>
    <w:p>
      <w:pPr>
        <w:pStyle w:val="Heading2"/>
      </w:pPr>
      <w:r>
        <w:t>Diálogos relacionados</w:t>
      </w:r>
    </w:p>
    <w:p>
      <w:pPr>
        <w:pStyle w:val="ListBullet"/>
      </w:pPr>
      <w:r>
        <w:t>DIALOGUE-VIDA-0015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VIDA-0056</w:t>
      </w:r>
    </w:p>
    <w:p>
      <w:pPr>
        <w:pStyle w:val="ListBullet"/>
      </w:pPr>
      <w:r>
        <w:t>VIDA-0057</w:t>
      </w:r>
    </w:p>
    <w:p>
      <w:pPr>
        <w:pStyle w:val="ListBullet"/>
      </w:pPr>
      <w:r>
        <w:t>VIDA-0058</w:t>
      </w:r>
    </w:p>
    <w:p>
      <w:pPr>
        <w:pStyle w:val="ListBullet"/>
      </w:pPr>
      <w:r>
        <w:t>VIDA-0059</w:t>
      </w:r>
    </w:p>
    <w:p>
      <w:pPr>
        <w:pStyle w:val="ListBullet"/>
      </w:pPr>
      <w:r>
        <w:t>VIDA-0060</w:t>
      </w:r>
    </w:p>
    <w:p>
      <w:pPr>
        <w:pStyle w:val="ListBullet"/>
      </w:pPr>
      <w:r>
        <w:t>FAQ-VIDA-0056</w:t>
      </w:r>
    </w:p>
    <w:p>
      <w:pPr>
        <w:pStyle w:val="ListBullet"/>
      </w:pPr>
      <w:r>
        <w:t>FAQ-VIDA-0057</w:t>
      </w:r>
    </w:p>
    <w:p>
      <w:pPr>
        <w:pStyle w:val="ListBullet"/>
      </w:pPr>
      <w:r>
        <w:t>FAQ-VIDA-0058</w:t>
      </w:r>
    </w:p>
    <w:p>
      <w:pPr>
        <w:pStyle w:val="ListBullet"/>
      </w:pPr>
      <w:r>
        <w:t>FAQ-VIDA-0059</w:t>
      </w:r>
    </w:p>
    <w:p>
      <w:pPr>
        <w:pStyle w:val="ListBullet"/>
      </w:pPr>
      <w:r>
        <w:t>FAQ-VIDA-0060</w:t>
      </w:r>
    </w:p>
    <w:p>
      <w:pPr>
        <w:pStyle w:val="ListBullet"/>
      </w:pPr>
      <w:r>
        <w:t>DIALOGUE-VIDA-0015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case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saude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`14_FAQ/VIDA/FAQ-VIDA-0056.md`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Terceiro ciclo de estudos de caso VIDA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