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AUTONOMOUS_PRODUCTION_PLAN - Plano de ciclos autônomos de produção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Finalidade</w:t>
      </w:r>
    </w:p>
    <w:p>
      <w:r>
        <w:t>Definir um modelo de produção editorial em ciclos maiores, com baixa dependência de interação do usuário, respeitando sempre o README.md, o EDITORIAL_RULES.md, a estrutura oficial do projeto e a consistência terminológica.</w:t>
      </w:r>
    </w:p>
    <w:p>
      <w:pPr>
        <w:pStyle w:val="Heading2"/>
      </w:pPr>
      <w:r>
        <w:t>Regra geral</w:t>
      </w:r>
    </w:p>
    <w:p>
      <w:r>
        <w:t>Cada ciclo autônomo deverá produzir um bloco editorial completo, com:</w:t>
      </w:r>
    </w:p>
    <w:p>
      <w:pPr>
        <w:pStyle w:val="ListBullet"/>
      </w:pPr>
      <w:r>
        <w:t>20 verbetes técnicos</w:t>
      </w:r>
    </w:p>
    <w:p>
      <w:pPr>
        <w:pStyle w:val="ListBullet"/>
      </w:pPr>
      <w:r>
        <w:t>20 FAQs</w:t>
      </w:r>
    </w:p>
    <w:p>
      <w:pPr>
        <w:pStyle w:val="ListBullet"/>
      </w:pPr>
      <w:r>
        <w:t>6 diálogos</w:t>
      </w:r>
    </w:p>
    <w:p>
      <w:pPr>
        <w:pStyle w:val="ListBullet"/>
      </w:pPr>
      <w:r>
        <w:t>8 estudos de caso</w:t>
      </w:r>
    </w:p>
    <w:p>
      <w:pPr>
        <w:pStyle w:val="ListBullet"/>
      </w:pPr>
      <w:r>
        <w:t>documentos consolidados em Markdown, DOCX e PDF</w:t>
      </w:r>
    </w:p>
    <w:p>
      <w:pPr>
        <w:pStyle w:val="ListBullet"/>
      </w:pPr>
      <w:r>
        <w:t>atualização do índice NotebookLM correspondente</w:t>
      </w:r>
    </w:p>
    <w:p>
      <w:pPr>
        <w:pStyle w:val="ListBullet"/>
      </w:pPr>
      <w:r>
        <w:t>atualização do CHANGELOG.md</w:t>
      </w:r>
    </w:p>
    <w:p>
      <w:pPr>
        <w:pStyle w:val="ListBullet"/>
      </w:pPr>
      <w:r>
        <w:t>commit e sincronização com GitHub</w:t>
      </w:r>
    </w:p>
    <w:p>
      <w:pPr>
        <w:pStyle w:val="Heading2"/>
      </w:pPr>
      <w:r>
        <w:t>Critérios para escolher o próximo ciclo</w:t>
      </w:r>
    </w:p>
    <w:p>
      <w:r>
        <w:t>O próximo ciclo deve continuar a categoria em andamento quando houver coerência editorial.</w:t>
      </w:r>
    </w:p>
    <w:p>
      <w:r>
        <w:t>Na categoria AUTO, a sequência recomendada é:</w:t>
      </w:r>
    </w:p>
    <w:p>
      <w:r>
        <w:t>1. fundamentos de cobertura</w:t>
      </w:r>
    </w:p>
    <w:p>
      <w:r>
        <w:t>2. contratação e renovação</w:t>
      </w:r>
    </w:p>
    <w:p>
      <w:r>
        <w:t>3. pagamento e alteração contratual</w:t>
      </w:r>
    </w:p>
    <w:p>
      <w:r>
        <w:t>4. sinistro e atendimento</w:t>
      </w:r>
    </w:p>
    <w:p>
      <w:r>
        <w:t>5. documentos, responsabilidade e reparo</w:t>
      </w:r>
    </w:p>
    <w:p>
      <w:r>
        <w:t>6. casos especiais e exceções</w:t>
      </w:r>
    </w:p>
    <w:p>
      <w:r>
        <w:t>7. encerramento da primeira fase AUTO</w:t>
      </w:r>
    </w:p>
    <w:p>
      <w:r>
        <w:t>Quando a categoria AUTO atingir massa crítica inicial, iniciar a categoria VIDA seguindo a mesma lógica.</w:t>
      </w:r>
    </w:p>
    <w:p>
      <w:pPr>
        <w:pStyle w:val="Heading2"/>
      </w:pPr>
      <w:r>
        <w:t>Padrão de entrega por ciclo</w:t>
      </w:r>
    </w:p>
    <w:p>
      <w:pPr>
        <w:pStyle w:val="Heading3"/>
      </w:pPr>
      <w:r>
        <w:t>Verbetes</w:t>
      </w:r>
    </w:p>
    <w:p>
      <w:r>
        <w:t>Criar códigos sequenciais sem lacunas.</w:t>
      </w:r>
    </w:p>
    <w:p>
      <w:r>
        <w:t>Cada verbete deve conter:</w:t>
      </w:r>
    </w:p>
    <w:p>
      <w:pPr>
        <w:pStyle w:val="ListBullet"/>
      </w:pPr>
      <w:r>
        <w:t>código</w:t>
      </w:r>
    </w:p>
    <w:p>
      <w:pPr>
        <w:pStyle w:val="ListBullet"/>
      </w:pPr>
      <w:r>
        <w:t>categoria</w:t>
      </w:r>
    </w:p>
    <w:p>
      <w:pPr>
        <w:pStyle w:val="ListBullet"/>
      </w:pPr>
      <w:r>
        <w:t>termo japonês</w:t>
      </w:r>
    </w:p>
    <w:p>
      <w:pPr>
        <w:pStyle w:val="ListBullet"/>
      </w:pPr>
      <w:r>
        <w:t>tradução em português</w:t>
      </w:r>
    </w:p>
    <w:p>
      <w:pPr>
        <w:pStyle w:val="ListBullet"/>
      </w:pPr>
      <w:r>
        <w:t>definição técnica</w:t>
      </w:r>
    </w:p>
    <w:p>
      <w:pPr>
        <w:pStyle w:val="ListBullet"/>
      </w:pPr>
      <w:r>
        <w:t>explicação simplificada</w:t>
      </w:r>
    </w:p>
    <w:p>
      <w:pPr>
        <w:pStyle w:val="ListBullet"/>
      </w:pPr>
      <w:r>
        <w:t>como explicar ao cliente brasileiro</w:t>
      </w:r>
    </w:p>
    <w:p>
      <w:pPr>
        <w:pStyle w:val="ListBullet"/>
      </w:pPr>
      <w:r>
        <w:t>frases em japonês</w:t>
      </w:r>
    </w:p>
    <w:p>
      <w:pPr>
        <w:pStyle w:val="ListBullet"/>
      </w:pPr>
      <w:r>
        <w:t>frases em português brasileiro</w:t>
      </w:r>
    </w:p>
    <w:p>
      <w:pPr>
        <w:pStyle w:val="ListBullet"/>
      </w:pPr>
      <w:r>
        <w:t>FAQs relacionadas</w:t>
      </w:r>
    </w:p>
    <w:p>
      <w:pPr>
        <w:pStyle w:val="ListBullet"/>
      </w:pPr>
      <w:r>
        <w:t>termos relacionados</w:t>
      </w:r>
    </w:p>
    <w:p>
      <w:pPr>
        <w:pStyle w:val="ListBullet"/>
      </w:pPr>
      <w:r>
        <w:t>referências cruzadas</w:t>
      </w:r>
    </w:p>
    <w:p>
      <w:pPr>
        <w:pStyle w:val="ListBullet"/>
      </w:pPr>
      <w:r>
        <w:t>referências</w:t>
      </w:r>
    </w:p>
    <w:p>
      <w:pPr>
        <w:pStyle w:val="ListBullet"/>
      </w:pPr>
      <w:r>
        <w:t>tags</w:t>
      </w:r>
    </w:p>
    <w:p>
      <w:pPr>
        <w:pStyle w:val="ListBullet"/>
      </w:pPr>
      <w:r>
        <w:t>veja também</w:t>
      </w:r>
    </w:p>
    <w:p>
      <w:pPr>
        <w:pStyle w:val="ListBullet"/>
      </w:pPr>
      <w:r>
        <w:t>histórico de revisão</w:t>
      </w:r>
    </w:p>
    <w:p>
      <w:pPr>
        <w:pStyle w:val="Heading3"/>
      </w:pPr>
      <w:r>
        <w:t>FAQs</w:t>
      </w:r>
    </w:p>
    <w:p>
      <w:r>
        <w:t>Cada FAQ deve corresponder a uma dúvida real de atendimento e apontar para pelo menos:</w:t>
      </w:r>
    </w:p>
    <w:p>
      <w:pPr>
        <w:pStyle w:val="ListBullet"/>
      </w:pPr>
      <w:r>
        <w:t>1 verbete</w:t>
      </w:r>
    </w:p>
    <w:p>
      <w:pPr>
        <w:pStyle w:val="ListBullet"/>
      </w:pPr>
      <w:r>
        <w:t>1 diálogo ou estudo de caso quando aplicável</w:t>
      </w:r>
    </w:p>
    <w:p>
      <w:pPr>
        <w:pStyle w:val="Heading3"/>
      </w:pPr>
      <w:r>
        <w:t>Diálogos</w:t>
      </w:r>
    </w:p>
    <w:p>
      <w:r>
        <w:t>Cada diálogo deve agrupar de 3 a 5 termos relacionados e simular conversa prática entre:</w:t>
      </w:r>
    </w:p>
    <w:p>
      <w:pPr>
        <w:pStyle w:val="ListBullet"/>
      </w:pPr>
      <w:r>
        <w:t>corretor japonês</w:t>
      </w:r>
    </w:p>
    <w:p>
      <w:pPr>
        <w:pStyle w:val="ListBullet"/>
      </w:pPr>
      <w:r>
        <w:t>cliente brasileiro residente no Japão</w:t>
      </w:r>
    </w:p>
    <w:p>
      <w:pPr>
        <w:pStyle w:val="Heading3"/>
      </w:pPr>
      <w:r>
        <w:t>Estudos de caso</w:t>
      </w:r>
    </w:p>
    <w:p>
      <w:r>
        <w:t>Cada estudo de caso deve transformar o bloco técnico em decisão prática de atendimento.</w:t>
      </w:r>
    </w:p>
    <w:p>
      <w:pPr>
        <w:pStyle w:val="Heading2"/>
      </w:pPr>
      <w:r>
        <w:t>Formatos obrigatórios</w:t>
      </w:r>
    </w:p>
    <w:p>
      <w:r>
        <w:t>Para cada bloco consolidado, gerar:</w:t>
      </w:r>
    </w:p>
    <w:p>
      <w:pPr>
        <w:pStyle w:val="ListBullet"/>
      </w:pPr>
      <w:r>
        <w:t>Markdown em `19_Markdown`</w:t>
      </w:r>
    </w:p>
    <w:p>
      <w:pPr>
        <w:pStyle w:val="ListBullet"/>
      </w:pPr>
      <w:r>
        <w:t>DOCX em `18_DOCX`</w:t>
      </w:r>
    </w:p>
    <w:p>
      <w:pPr>
        <w:pStyle w:val="ListBullet"/>
      </w:pPr>
      <w:r>
        <w:t>PDF em `17_PDF`</w:t>
      </w:r>
    </w:p>
    <w:p>
      <w:pPr>
        <w:pStyle w:val="Heading2"/>
      </w:pPr>
      <w:r>
        <w:t>Sincronização</w:t>
      </w:r>
    </w:p>
    <w:p>
      <w:r>
        <w:t>Ao final de cada ciclo:</w:t>
      </w:r>
    </w:p>
    <w:p>
      <w:r>
        <w:t>1. verificar estado do repositório</w:t>
      </w:r>
    </w:p>
    <w:p>
      <w:r>
        <w:t>2. conferir arquivos criados</w:t>
      </w:r>
    </w:p>
    <w:p>
      <w:r>
        <w:t>3. atualizar CHANGELOG.md</w:t>
      </w:r>
    </w:p>
    <w:p>
      <w:r>
        <w:t>4. fazer commit com mensagem objetiva</w:t>
      </w:r>
    </w:p>
    <w:p>
      <w:r>
        <w:t>5. enviar para GitHub</w:t>
      </w:r>
    </w:p>
    <w:p>
      <w:pPr>
        <w:pStyle w:val="Heading2"/>
      </w:pPr>
      <w:r>
        <w:t>Limites editoriais</w:t>
      </w:r>
    </w:p>
    <w:p>
      <w:pPr>
        <w:pStyle w:val="ListBullet"/>
      </w:pPr>
      <w:r>
        <w:t>Não alterar traduções já existentes sem justificativa registrada.</w:t>
      </w:r>
    </w:p>
    <w:p>
      <w:pPr>
        <w:pStyle w:val="ListBullet"/>
      </w:pPr>
      <w:r>
        <w:t>Não duplicar verbetes.</w:t>
      </w:r>
    </w:p>
    <w:p>
      <w:pPr>
        <w:pStyle w:val="ListBullet"/>
      </w:pPr>
      <w:r>
        <w:t>Não usar romaji.</w:t>
      </w:r>
    </w:p>
    <w:p>
      <w:pPr>
        <w:pStyle w:val="ListBullet"/>
      </w:pPr>
      <w:r>
        <w:t>Não quebrar a estrutura oficial.</w:t>
      </w:r>
    </w:p>
    <w:p>
      <w:pPr>
        <w:pStyle w:val="ListBullet"/>
      </w:pPr>
      <w:r>
        <w:t>Não deixar referências cruzadas pendentes quando o documento relacionado já existir.</w:t>
      </w:r>
    </w:p>
    <w:p>
      <w:pPr>
        <w:pStyle w:val="Heading2"/>
      </w:pPr>
      <w:r>
        <w:t>Próximos ciclos recomendados</w:t>
      </w:r>
    </w:p>
    <w:p>
      <w:pPr>
        <w:pStyle w:val="Heading3"/>
      </w:pPr>
      <w:r>
        <w:t>AUTO-0061 a AUTO-0080</w:t>
      </w:r>
    </w:p>
    <w:p>
      <w:r>
        <w:t>Tema: casos especiais, exceções de cobertura, exclusões e situações de risco.</w:t>
      </w:r>
    </w:p>
    <w:p>
      <w:r>
        <w:t>Termos sugeridos:</w:t>
      </w:r>
    </w:p>
    <w:p>
      <w:pPr>
        <w:pStyle w:val="ListBullet"/>
      </w:pPr>
      <w:r>
        <w:t>免責事項</w:t>
      </w:r>
    </w:p>
    <w:p>
      <w:pPr>
        <w:pStyle w:val="ListBullet"/>
      </w:pPr>
      <w:r>
        <w:t>補償対象外</w:t>
      </w:r>
    </w:p>
    <w:p>
      <w:pPr>
        <w:pStyle w:val="ListBullet"/>
      </w:pPr>
      <w:r>
        <w:t>飲酒運転</w:t>
      </w:r>
    </w:p>
    <w:p>
      <w:pPr>
        <w:pStyle w:val="ListBullet"/>
      </w:pPr>
      <w:r>
        <w:t>無免許運転</w:t>
      </w:r>
    </w:p>
    <w:p>
      <w:pPr>
        <w:pStyle w:val="ListBullet"/>
      </w:pPr>
      <w:r>
        <w:t>重大な過失</w:t>
      </w:r>
    </w:p>
    <w:p>
      <w:pPr>
        <w:pStyle w:val="ListBullet"/>
      </w:pPr>
      <w:r>
        <w:t>故意</w:t>
      </w:r>
    </w:p>
    <w:p>
      <w:pPr>
        <w:pStyle w:val="ListBullet"/>
      </w:pPr>
      <w:r>
        <w:t>地震</w:t>
      </w:r>
    </w:p>
    <w:p>
      <w:pPr>
        <w:pStyle w:val="ListBullet"/>
      </w:pPr>
      <w:r>
        <w:t>台風</w:t>
      </w:r>
    </w:p>
    <w:p>
      <w:pPr>
        <w:pStyle w:val="ListBullet"/>
      </w:pPr>
      <w:r>
        <w:t>洪水</w:t>
      </w:r>
    </w:p>
    <w:p>
      <w:pPr>
        <w:pStyle w:val="ListBullet"/>
      </w:pPr>
      <w:r>
        <w:t>盗難</w:t>
      </w:r>
    </w:p>
    <w:p>
      <w:pPr>
        <w:pStyle w:val="ListBullet"/>
      </w:pPr>
      <w:r>
        <w:t>いたずら</w:t>
      </w:r>
    </w:p>
    <w:p>
      <w:pPr>
        <w:pStyle w:val="ListBullet"/>
      </w:pPr>
      <w:r>
        <w:t>飛び石</w:t>
      </w:r>
    </w:p>
    <w:p>
      <w:pPr>
        <w:pStyle w:val="ListBullet"/>
      </w:pPr>
      <w:r>
        <w:t>自然災害</w:t>
      </w:r>
    </w:p>
    <w:p>
      <w:pPr>
        <w:pStyle w:val="ListBullet"/>
      </w:pPr>
      <w:r>
        <w:t>使用者</w:t>
      </w:r>
    </w:p>
    <w:p>
      <w:pPr>
        <w:pStyle w:val="ListBullet"/>
      </w:pPr>
      <w:r>
        <w:t>記名被保険者</w:t>
      </w:r>
    </w:p>
    <w:p>
      <w:pPr>
        <w:pStyle w:val="ListBullet"/>
      </w:pPr>
      <w:r>
        <w:t>家族限定</w:t>
      </w:r>
    </w:p>
    <w:p>
      <w:pPr>
        <w:pStyle w:val="ListBullet"/>
      </w:pPr>
      <w:r>
        <w:t>夫婦限定</w:t>
      </w:r>
    </w:p>
    <w:p>
      <w:pPr>
        <w:pStyle w:val="ListBullet"/>
      </w:pPr>
      <w:r>
        <w:t>他車運転特約</w:t>
      </w:r>
    </w:p>
    <w:p>
      <w:pPr>
        <w:pStyle w:val="ListBullet"/>
      </w:pPr>
      <w:r>
        <w:t>ファミリーバイク特約</w:t>
      </w:r>
    </w:p>
    <w:p>
      <w:pPr>
        <w:pStyle w:val="ListBullet"/>
      </w:pPr>
      <w:r>
        <w:t>個人賠償責任特約</w:t>
      </w:r>
    </w:p>
    <w:p>
      <w:pPr>
        <w:pStyle w:val="Heading3"/>
      </w:pPr>
      <w:r>
        <w:t>AUTO-0081 a AUTO-0100</w:t>
      </w:r>
    </w:p>
    <w:p>
      <w:r>
        <w:t>Tema: fechamento da primeira fase AUTO, revisão de cobertura, atendimento recorrente e preparação para treinamento.</w:t>
      </w:r>
    </w:p>
    <w:p>
      <w:pPr>
        <w:pStyle w:val="Heading3"/>
      </w:pPr>
      <w:r>
        <w:t>VIDA-0001 a VIDA-0020</w:t>
      </w:r>
    </w:p>
    <w:p>
      <w:r>
        <w:t>Tema: fundamentos de seguro de vida no Japão para atendimento a brasileiros.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AUTONOMOUS_PRODUCTION_PLAN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