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LIFE_NAVIGATION_GUIDE - Guia de navegacao de seguro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Título</w:t>
      </w:r>
    </w:p>
    <w:p>
      <w:r>
        <w:t>Guia de navegacao de seguro de vida</w:t>
      </w:r>
    </w:p>
    <w:p>
      <w:pPr>
        <w:pStyle w:val="Heading2"/>
      </w:pPr>
      <w:r>
        <w:t>Resumo</w:t>
      </w:r>
    </w:p>
    <w:p>
      <w:r>
        <w:t>Este guia orienta o corretor japones sobre onde consultar conteudo de seguro de vida para atender clientes brasileiros residentes no Japao. A pasta `05_Life` funciona como porta de entrada e nao duplica o dicionario mestre.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生命保険</w:t>
      </w:r>
    </w:p>
    <w:p>
      <w:pPr>
        <w:pStyle w:val="ListBullet"/>
      </w:pPr>
      <w:r>
        <w:t>死亡保険</w:t>
      </w:r>
    </w:p>
    <w:p>
      <w:pPr>
        <w:pStyle w:val="ListBullet"/>
      </w:pPr>
      <w:r>
        <w:t>受取人</w:t>
      </w:r>
    </w:p>
    <w:p>
      <w:pPr>
        <w:pStyle w:val="ListBullet"/>
      </w:pPr>
      <w:r>
        <w:t>告知義務</w:t>
      </w:r>
    </w:p>
    <w:p>
      <w:pPr>
        <w:pStyle w:val="ListBullet"/>
      </w:pPr>
      <w:r>
        <w:t>引受審査</w:t>
      </w:r>
    </w:p>
    <w:p>
      <w:pPr>
        <w:pStyle w:val="ListBullet"/>
      </w:pPr>
      <w:r>
        <w:t>保険金請求</w:t>
      </w:r>
    </w:p>
    <w:p>
      <w:pPr>
        <w:pStyle w:val="ListBullet"/>
      </w:pPr>
      <w:r>
        <w:t>seguro de vida</w:t>
      </w:r>
    </w:p>
    <w:p>
      <w:pPr>
        <w:pStyle w:val="ListBullet"/>
      </w:pPr>
      <w:r>
        <w:t>beneficiario</w:t>
      </w:r>
    </w:p>
    <w:p>
      <w:pPr>
        <w:pStyle w:val="ListBullet"/>
      </w:pPr>
      <w:r>
        <w:t>declaracao de saude</w:t>
      </w:r>
    </w:p>
    <w:p>
      <w:pPr>
        <w:pStyle w:val="ListBullet"/>
      </w:pPr>
      <w:r>
        <w:t>indenizacao</w:t>
      </w:r>
    </w:p>
    <w:p>
      <w:pPr>
        <w:pStyle w:val="ListBullet"/>
      </w:pPr>
      <w:r>
        <w:t>cliente brasileiro</w:t>
      </w:r>
    </w:p>
    <w:p>
      <w:pPr>
        <w:pStyle w:val="Heading2"/>
      </w:pPr>
      <w:r>
        <w:t>Categorias</w:t>
      </w:r>
    </w:p>
    <w:p>
      <w:pPr>
        <w:pStyle w:val="ListBullet"/>
      </w:pPr>
      <w:r>
        <w:t>VIDA</w:t>
      </w:r>
    </w:p>
    <w:p>
      <w:pPr>
        <w:pStyle w:val="ListBullet"/>
      </w:pPr>
      <w:r>
        <w:t>Navigation</w:t>
      </w:r>
    </w:p>
    <w:p>
      <w:pPr>
        <w:pStyle w:val="ListBullet"/>
      </w:pPr>
      <w:r>
        <w:t>NotebookLM</w:t>
      </w:r>
    </w:p>
    <w:p>
      <w:pPr>
        <w:pStyle w:val="ListBullet"/>
      </w:pPr>
      <w:r>
        <w:t>Atendimento</w:t>
      </w:r>
    </w:p>
    <w:p>
      <w:pPr>
        <w:pStyle w:val="Heading2"/>
      </w:pPr>
      <w:r>
        <w:t>Conteúdo</w:t>
      </w:r>
    </w:p>
    <w:p>
      <w:pPr>
        <w:pStyle w:val="Heading3"/>
      </w:pPr>
      <w:r>
        <w:t>Uso recomendado no NotebookLM</w:t>
      </w:r>
    </w:p>
    <w:p>
      <w:r>
        <w:t>Para atendimento real, comece pelo pacote pratico:</w:t>
      </w:r>
    </w:p>
    <w:p>
      <w:pPr>
        <w:pStyle w:val="ListBullet"/>
      </w:pPr>
      <w:r>
        <w:t>`16_NotebookLM/VIDA_NOTEBOOKLM_PACK_0001.md`</w:t>
      </w:r>
    </w:p>
    <w:p>
      <w:r>
        <w:t>Para lista completa de termos e conexoes, use:</w:t>
      </w:r>
    </w:p>
    <w:p>
      <w:pPr>
        <w:pStyle w:val="ListBullet"/>
      </w:pPr>
      <w:r>
        <w:t>`16_NotebookLM/VIDA_INDEX_0001.md`</w:t>
      </w:r>
    </w:p>
    <w:p>
      <w:pPr>
        <w:pStyle w:val="Heading3"/>
      </w:pPr>
      <w:r>
        <w:t>Perguntas naturais em japones</w:t>
      </w:r>
    </w:p>
    <w:p>
      <w:pPr>
        <w:pStyle w:val="ListBullet"/>
      </w:pPr>
      <w:r>
        <w:t>ブラジル人のお客様に生命保険をどう説明すればよいですか。</w:t>
      </w:r>
    </w:p>
    <w:p>
      <w:pPr>
        <w:pStyle w:val="ListBullet"/>
      </w:pPr>
      <w:r>
        <w:t>受取人と被保険者の違いをポルトガル語で説明したいです。</w:t>
      </w:r>
    </w:p>
    <w:p>
      <w:pPr>
        <w:pStyle w:val="ListBullet"/>
      </w:pPr>
      <w:r>
        <w:t>告知義務を誤解されないように説明してください。</w:t>
      </w:r>
    </w:p>
    <w:p>
      <w:pPr>
        <w:pStyle w:val="ListBullet"/>
      </w:pPr>
      <w:r>
        <w:t>保険金請求に必要な書類を案内してください。</w:t>
      </w:r>
    </w:p>
    <w:p>
      <w:pPr>
        <w:pStyle w:val="ListBullet"/>
      </w:pPr>
      <w:r>
        <w:t>生命保険の税金について注意点を教えてください。</w:t>
      </w:r>
    </w:p>
    <w:p>
      <w:pPr>
        <w:pStyle w:val="Heading3"/>
      </w:pPr>
      <w:r>
        <w:t>Roteiro de atendimento</w:t>
      </w:r>
    </w:p>
    <w:p>
      <w:pPr>
        <w:pStyle w:val="ListNumber"/>
      </w:pPr>
      <w:r>
        <w:t>Confirmar objetivo: protecao familiar, renda, doenca, aposentadoria ou planejamento.</w:t>
      </w:r>
    </w:p>
    <w:p>
      <w:pPr>
        <w:pStyle w:val="ListNumber"/>
      </w:pPr>
      <w:r>
        <w:t>Identificar contratante, segurado e beneficiario.</w:t>
      </w:r>
    </w:p>
    <w:p>
      <w:pPr>
        <w:pStyle w:val="ListNumber"/>
      </w:pPr>
      <w:r>
        <w:t>Explicar tipo de seguro e cobertura principal.</w:t>
      </w:r>
    </w:p>
    <w:p>
      <w:pPr>
        <w:pStyle w:val="ListNumber"/>
      </w:pPr>
      <w:r>
        <w:t>Confirmar declaracao de saude e analise de aceitacao.</w:t>
      </w:r>
    </w:p>
    <w:p>
      <w:pPr>
        <w:pStyle w:val="ListNumber"/>
      </w:pPr>
      <w:r>
        <w:t>Explicar solicitacao de indenizacao e documentos.</w:t>
      </w:r>
    </w:p>
    <w:p>
      <w:pPr>
        <w:pStyle w:val="ListNumber"/>
      </w:pPr>
      <w:r>
        <w:t>Revisar beneficiario e contrato apos eventos familiares.</w:t>
      </w:r>
    </w:p>
    <w:p>
      <w:pPr>
        <w:pStyle w:val="Heading3"/>
      </w:pPr>
      <w:r>
        <w:t>Documentos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Uso</w:t>
            </w:r>
          </w:p>
        </w:tc>
        <w:tc>
          <w:tcPr>
            <w:tcW w:type="dxa" w:w="4896"/>
          </w:tcPr>
          <w:p>
            <w:r>
              <w:t>Documento</w:t>
            </w:r>
          </w:p>
        </w:tc>
      </w:tr>
      <w:tr>
        <w:tc>
          <w:tcPr>
            <w:tcW w:type="dxa" w:w="4896"/>
          </w:tcPr>
          <w:p>
            <w:r>
              <w:t>Consulta pratica NotebookLM</w:t>
            </w:r>
          </w:p>
        </w:tc>
        <w:tc>
          <w:tcPr>
            <w:tcW w:type="dxa" w:w="4896"/>
          </w:tcPr>
          <w:p>
            <w:r>
              <w:t>`16_NotebookLM/VIDA_NOTEBOOKLM_PACK_0001.md`</w:t>
            </w:r>
          </w:p>
        </w:tc>
      </w:tr>
      <w:tr>
        <w:tc>
          <w:tcPr>
            <w:tcW w:type="dxa" w:w="4896"/>
          </w:tcPr>
          <w:p>
            <w:r>
              <w:t>Indice geral VIDA</w:t>
            </w:r>
          </w:p>
        </w:tc>
        <w:tc>
          <w:tcPr>
            <w:tcW w:type="dxa" w:w="4896"/>
          </w:tcPr>
          <w:p>
            <w:r>
              <w:t>`16_NotebookLM/VIDA_INDEX_0001.md`</w:t>
            </w:r>
          </w:p>
        </w:tc>
      </w:tr>
      <w:tr>
        <w:tc>
          <w:tcPr>
            <w:tcW w:type="dxa" w:w="4896"/>
          </w:tcPr>
          <w:p>
            <w:r>
              <w:t>Verbetes consolidados</w:t>
            </w:r>
          </w:p>
        </w:tc>
        <w:tc>
          <w:tcPr>
            <w:tcW w:type="dxa" w:w="4896"/>
          </w:tcPr>
          <w:p>
            <w:r>
              <w:t>`19_Markdown/VIDA/VIDA_TERMS_0001_0020.md` ate `19_Markdown/VIDA/VIDA_TERMS_0081_0100.md`</w:t>
            </w:r>
          </w:p>
        </w:tc>
      </w:tr>
      <w:tr>
        <w:tc>
          <w:tcPr>
            <w:tcW w:type="dxa" w:w="4896"/>
          </w:tcPr>
          <w:p>
            <w:r>
              <w:t>FAQs consolidadas</w:t>
            </w:r>
          </w:p>
        </w:tc>
        <w:tc>
          <w:tcPr>
            <w:tcW w:type="dxa" w:w="4896"/>
          </w:tcPr>
          <w:p>
            <w:r>
              <w:t>`19_Markdown/VIDA/VIDA_FAQ_0001_0020.md` ate `19_Markdown/VIDA/VIDA_FAQ_0081_0100.md`</w:t>
            </w:r>
          </w:p>
        </w:tc>
      </w:tr>
      <w:tr>
        <w:tc>
          <w:tcPr>
            <w:tcW w:type="dxa" w:w="4896"/>
          </w:tcPr>
          <w:p>
            <w:r>
              <w:t>Dialogos consolidados</w:t>
            </w:r>
          </w:p>
        </w:tc>
        <w:tc>
          <w:tcPr>
            <w:tcW w:type="dxa" w:w="4896"/>
          </w:tcPr>
          <w:p>
            <w:r>
              <w:t>`19_Markdown/VIDA/VIDA_DIALOGUES_0001_0005.md` ate `19_Markdown/VIDA/VIDA_DIALOGUES_0021_0025.md`</w:t>
            </w:r>
          </w:p>
        </w:tc>
      </w:tr>
      <w:tr>
        <w:tc>
          <w:tcPr>
            <w:tcW w:type="dxa" w:w="4896"/>
          </w:tcPr>
          <w:p>
            <w:r>
              <w:t>Casos consolidados</w:t>
            </w:r>
          </w:p>
        </w:tc>
        <w:tc>
          <w:tcPr>
            <w:tcW w:type="dxa" w:w="4896"/>
          </w:tcPr>
          <w:p>
            <w:r>
              <w:t>`19_Markdown/VIDA/VIDA_CASES_0001_0008.md` ate `19_Markdown/VIDA/VIDA_CASES_0033_0040.md`</w:t>
            </w:r>
          </w:p>
        </w:tc>
      </w:tr>
    </w:tbl>
    <w:p/>
    <w:p>
      <w:pPr>
        <w:pStyle w:val="Heading3"/>
      </w:pPr>
      <w:r>
        <w:t>Termos de entrada rapida</w:t>
      </w:r>
    </w:p>
    <w:p>
      <w:pPr>
        <w:pStyle w:val="ListBullet"/>
      </w:pPr>
      <w:r>
        <w:t>VIDA-0001 - 生命保険 - Seguro de vida</w:t>
      </w:r>
    </w:p>
    <w:p>
      <w:pPr>
        <w:pStyle w:val="ListBullet"/>
      </w:pPr>
      <w:r>
        <w:t>VIDA-0002 - 死亡保険 - Seguro por morte</w:t>
      </w:r>
    </w:p>
    <w:p>
      <w:pPr>
        <w:pStyle w:val="ListBullet"/>
      </w:pPr>
      <w:r>
        <w:t>VIDA-0009 - 保険契約者 - Contratante do seguro de vida</w:t>
      </w:r>
    </w:p>
    <w:p>
      <w:pPr>
        <w:pStyle w:val="ListBullet"/>
      </w:pPr>
      <w:r>
        <w:t>VIDA-0010 - 被保険者 - Segurado do seguro de vida</w:t>
      </w:r>
    </w:p>
    <w:p>
      <w:pPr>
        <w:pStyle w:val="ListBullet"/>
      </w:pPr>
      <w:r>
        <w:t>VIDA-0011 - 受取人 - Beneficiario</w:t>
      </w:r>
    </w:p>
    <w:p>
      <w:pPr>
        <w:pStyle w:val="ListBullet"/>
      </w:pPr>
      <w:r>
        <w:t>VIDA-0018 - 告知義務 - Obrigacao de declaracao de saude</w:t>
      </w:r>
    </w:p>
    <w:p>
      <w:pPr>
        <w:pStyle w:val="ListBullet"/>
      </w:pPr>
      <w:r>
        <w:t>VIDA-0049 - 引受審査 - Analise de aceitacao</w:t>
      </w:r>
    </w:p>
    <w:p>
      <w:pPr>
        <w:pStyle w:val="ListBullet"/>
      </w:pPr>
      <w:r>
        <w:t>VIDA-0061 - 保険金請求 - Solicitacao de indenizacao</w:t>
      </w:r>
    </w:p>
    <w:p>
      <w:pPr>
        <w:pStyle w:val="Heading3"/>
      </w:pPr>
      <w:r>
        <w:t>Alertas para o corretor</w:t>
      </w:r>
    </w:p>
    <w:p>
      <w:pPr>
        <w:pStyle w:val="ListBullet"/>
      </w:pPr>
      <w:r>
        <w:t>Nao prometer aceitacao antes da analise.</w:t>
      </w:r>
    </w:p>
    <w:p>
      <w:pPr>
        <w:pStyle w:val="ListBullet"/>
      </w:pPr>
      <w:r>
        <w:t>Nao prometer pagamento automatico de indenizacao.</w:t>
      </w:r>
    </w:p>
    <w:p>
      <w:pPr>
        <w:pStyle w:val="ListBullet"/>
      </w:pPr>
      <w:r>
        <w:t>Nao minimizar a importancia da declaracao de saude.</w:t>
      </w:r>
    </w:p>
    <w:p>
      <w:pPr>
        <w:pStyle w:val="ListBullet"/>
      </w:pPr>
      <w:r>
        <w:t>Nao definir imposto sem verificar o caso concreto.</w:t>
      </w:r>
    </w:p>
    <w:p>
      <w:pPr>
        <w:pStyle w:val="ListBullet"/>
      </w:pPr>
      <w:r>
        <w:t>Revisar beneficiario quando houver casamento, separacao, nascimento ou falecimento.</w:t>
      </w:r>
    </w:p>
    <w:p>
      <w:pPr>
        <w:pStyle w:val="Heading2"/>
      </w:pPr>
      <w:r>
        <w:t>Referências</w:t>
      </w:r>
    </w:p>
    <w:p>
      <w:pPr>
        <w:pStyle w:val="ListBullet"/>
      </w:pPr>
      <w:r>
        <w:t>`16_NotebookLM/VIDA_NOTEBOOKLM_PACK_0001.md`</w:t>
      </w:r>
    </w:p>
    <w:p>
      <w:pPr>
        <w:pStyle w:val="ListBullet"/>
      </w:pPr>
      <w:r>
        <w:t>`16_NotebookLM/VIDA_INDEX_0001.md`</w:t>
      </w:r>
    </w:p>
    <w:p>
      <w:pPr>
        <w:pStyle w:val="ListBullet"/>
      </w:pPr>
      <w:r>
        <w:t>`02_MasterDictionary/VIDA/`</w:t>
      </w:r>
    </w:p>
    <w:p>
      <w:pPr>
        <w:pStyle w:val="ListBullet"/>
      </w:pPr>
      <w:r>
        <w:t>`13_Dialogues/VIDA/`</w:t>
      </w:r>
    </w:p>
    <w:p>
      <w:pPr>
        <w:pStyle w:val="ListBullet"/>
      </w:pPr>
      <w:r>
        <w:t>`14_FAQ/VIDA/`</w:t>
      </w:r>
    </w:p>
    <w:p>
      <w:pPr>
        <w:pStyle w:val="ListBullet"/>
      </w:pPr>
      <w:r>
        <w:t>`15_CaseStudies/VIDA/`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`01_Editorial/JAPANESE_BROKER_NOTEBOOKLM_STANDARD.md`</w:t>
      </w:r>
    </w:p>
    <w:p>
      <w:pPr>
        <w:pStyle w:val="ListBullet"/>
      </w:pPr>
      <w:r>
        <w:t>`03_Glossary/MASTER_TERMINOLOGY.md`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Criacao do guia de navegacao VIDA.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