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MED_CASES_0001_0008 - Primeiro ciclo de estudos de caso MED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CASE-MED-0001 - Cliente quer entender diferença entre seguro médico e sistema público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CASE-MED-0001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quer entender diferença entre seguro médico e sistema público.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MED-0001 - 医療保険 - Seguro médico</w:t>
      </w:r>
    </w:p>
    <w:p>
      <w:pPr>
        <w:pStyle w:val="ListBullet"/>
      </w:pPr>
      <w:r>
        <w:t>MED-0002 - 入院給付金 - Benefício por internação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FAQ-MED-0001</w:t>
      </w:r>
    </w:p>
    <w:p>
      <w:pPr>
        <w:pStyle w:val="ListBullet"/>
      </w:pPr>
      <w:r>
        <w:t>FAQ-MED-0002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MED-0001</w:t>
      </w:r>
    </w:p>
    <w:p>
      <w:pPr>
        <w:pStyle w:val="ListBullet"/>
      </w:pPr>
      <w:r>
        <w:t>MED-0002</w:t>
      </w:r>
    </w:p>
    <w:p>
      <w:pPr>
        <w:pStyle w:val="ListBullet"/>
      </w:pPr>
      <w:r>
        <w:t>FAQ-MED-0001</w:t>
      </w:r>
    </w:p>
    <w:p>
      <w:pPr>
        <w:pStyle w:val="ListBullet"/>
      </w:pPr>
      <w:r>
        <w:t>FAQ-MED-0002</w:t>
      </w:r>
    </w:p>
    <w:p>
      <w:pPr>
        <w:pStyle w:val="ListBullet"/>
      </w:pPr>
      <w:r>
        <w:t>DIALOGUE-MED-0001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`14_FAQ/MED/FAQ-MED-0001.md`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CASE-MED-0002 - Cliente pergunta se cirurgia e tratamento ambulatorial são cobertos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CASE-MED-0002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pergunta se cirurgia e tratamento ambulatorial são cobertos.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MED-0003 - 手術給付金 - Benefício por cirurgia</w:t>
      </w:r>
    </w:p>
    <w:p>
      <w:pPr>
        <w:pStyle w:val="ListBullet"/>
      </w:pPr>
      <w:r>
        <w:t>MED-0004 - 通院給付金 - Benefício por tratamento ambulatorial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FAQ-MED-0003</w:t>
      </w:r>
    </w:p>
    <w:p>
      <w:pPr>
        <w:pStyle w:val="ListBullet"/>
      </w:pPr>
      <w:r>
        <w:t>FAQ-MED-0004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MED-0003</w:t>
      </w:r>
    </w:p>
    <w:p>
      <w:pPr>
        <w:pStyle w:val="ListBullet"/>
      </w:pPr>
      <w:r>
        <w:t>MED-0004</w:t>
      </w:r>
    </w:p>
    <w:p>
      <w:pPr>
        <w:pStyle w:val="ListBullet"/>
      </w:pPr>
      <w:r>
        <w:t>FAQ-MED-0003</w:t>
      </w:r>
    </w:p>
    <w:p>
      <w:pPr>
        <w:pStyle w:val="ListBullet"/>
      </w:pPr>
      <w:r>
        <w:t>FAQ-MED-0004</w:t>
      </w:r>
    </w:p>
    <w:p>
      <w:pPr>
        <w:pStyle w:val="ListBullet"/>
      </w:pPr>
      <w:r>
        <w:t>DIALOGUE-MED-0001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`14_FAQ/MED/FAQ-MED-0003.md`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CASE-MED-0003 - Cliente não entende valor diário e limite de dias pagos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CASE-MED-0003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não entende valor diário e limite de dias pagos.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MED-0005 - 日額 - Valor diário</w:t>
      </w:r>
    </w:p>
    <w:p>
      <w:pPr>
        <w:pStyle w:val="ListBullet"/>
      </w:pPr>
      <w:r>
        <w:t>MED-0006 - 入院日数 - Número de dias de internação</w:t>
      </w:r>
    </w:p>
    <w:p>
      <w:pPr>
        <w:pStyle w:val="ListBullet"/>
      </w:pPr>
      <w:r>
        <w:t>MED-0007 - 支払限度日数 - Limite de dias pagos</w:t>
      </w:r>
    </w:p>
    <w:p>
      <w:pPr>
        <w:pStyle w:val="ListBullet"/>
      </w:pPr>
      <w:r>
        <w:t>MED-0008 - 免責期間 - Período de carência ou não pagamento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FAQ-MED-0005</w:t>
      </w:r>
    </w:p>
    <w:p>
      <w:pPr>
        <w:pStyle w:val="ListBullet"/>
      </w:pPr>
      <w:r>
        <w:t>FAQ-MED-0006</w:t>
      </w:r>
    </w:p>
    <w:p>
      <w:pPr>
        <w:pStyle w:val="ListBullet"/>
      </w:pPr>
      <w:r>
        <w:t>FAQ-MED-0007</w:t>
      </w:r>
    </w:p>
    <w:p>
      <w:pPr>
        <w:pStyle w:val="ListBullet"/>
      </w:pPr>
      <w:r>
        <w:t>FAQ-MED-0008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MED-0005</w:t>
      </w:r>
    </w:p>
    <w:p>
      <w:pPr>
        <w:pStyle w:val="ListBullet"/>
      </w:pPr>
      <w:r>
        <w:t>MED-0006</w:t>
      </w:r>
    </w:p>
    <w:p>
      <w:pPr>
        <w:pStyle w:val="ListBullet"/>
      </w:pPr>
      <w:r>
        <w:t>MED-0007</w:t>
      </w:r>
    </w:p>
    <w:p>
      <w:pPr>
        <w:pStyle w:val="ListBullet"/>
      </w:pPr>
      <w:r>
        <w:t>MED-0008</w:t>
      </w:r>
    </w:p>
    <w:p>
      <w:pPr>
        <w:pStyle w:val="ListBullet"/>
      </w:pPr>
      <w:r>
        <w:t>FAQ-MED-0005</w:t>
      </w:r>
    </w:p>
    <w:p>
      <w:pPr>
        <w:pStyle w:val="ListBullet"/>
      </w:pPr>
      <w:r>
        <w:t>FAQ-MED-0006</w:t>
      </w:r>
    </w:p>
    <w:p>
      <w:pPr>
        <w:pStyle w:val="ListBullet"/>
      </w:pPr>
      <w:r>
        <w:t>FAQ-MED-0007</w:t>
      </w:r>
    </w:p>
    <w:p>
      <w:pPr>
        <w:pStyle w:val="ListBullet"/>
      </w:pPr>
      <w:r>
        <w:t>FAQ-MED-0008</w:t>
      </w:r>
    </w:p>
    <w:p>
      <w:pPr>
        <w:pStyle w:val="ListBullet"/>
      </w:pPr>
      <w:r>
        <w:t>DIALOGUE-MED-0002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`14_FAQ/MED/FAQ-MED-0005.md`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CASE-MED-0004 - Cliente pergunta sobre tratamento médico avançado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CASE-MED-0004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pergunta sobre tratamento médico avançado.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MED-0009 - 先進医療 - Tratamento médico avançado</w:t>
      </w:r>
    </w:p>
    <w:p>
      <w:pPr>
        <w:pStyle w:val="ListBullet"/>
      </w:pPr>
      <w:r>
        <w:t>MED-0010 - 先進医療給付金 - Benefício de tratamento médico avançado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FAQ-MED-0009</w:t>
      </w:r>
    </w:p>
    <w:p>
      <w:pPr>
        <w:pStyle w:val="ListBullet"/>
      </w:pPr>
      <w:r>
        <w:t>FAQ-MED-0010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MED-0009</w:t>
      </w:r>
    </w:p>
    <w:p>
      <w:pPr>
        <w:pStyle w:val="ListBullet"/>
      </w:pPr>
      <w:r>
        <w:t>MED-0010</w:t>
      </w:r>
    </w:p>
    <w:p>
      <w:pPr>
        <w:pStyle w:val="ListBullet"/>
      </w:pPr>
      <w:r>
        <w:t>FAQ-MED-0009</w:t>
      </w:r>
    </w:p>
    <w:p>
      <w:pPr>
        <w:pStyle w:val="ListBullet"/>
      </w:pPr>
      <w:r>
        <w:t>FAQ-MED-0010</w:t>
      </w:r>
    </w:p>
    <w:p>
      <w:pPr>
        <w:pStyle w:val="ListBullet"/>
      </w:pPr>
      <w:r>
        <w:t>DIALOGUE-MED-0003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CASE-MED-0005 - Cliente quer cobertura para câncer e três doenças graves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CASE-MED-0005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quer cobertura para câncer e três doenças graves.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MED-0011 - がん診断給付金 - Benefício por diagnóstico de câncer</w:t>
      </w:r>
    </w:p>
    <w:p>
      <w:pPr>
        <w:pStyle w:val="ListBullet"/>
      </w:pPr>
      <w:r>
        <w:t>MED-0012 - 三大疾病保障 - Cobertura para três doenças graves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FAQ-MED-0011</w:t>
      </w:r>
    </w:p>
    <w:p>
      <w:pPr>
        <w:pStyle w:val="ListBullet"/>
      </w:pPr>
      <w:r>
        <w:t>FAQ-MED-0012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MED-0011</w:t>
      </w:r>
    </w:p>
    <w:p>
      <w:pPr>
        <w:pStyle w:val="ListBullet"/>
      </w:pPr>
      <w:r>
        <w:t>MED-0012</w:t>
      </w:r>
    </w:p>
    <w:p>
      <w:pPr>
        <w:pStyle w:val="ListBullet"/>
      </w:pPr>
      <w:r>
        <w:t>FAQ-MED-0011</w:t>
      </w:r>
    </w:p>
    <w:p>
      <w:pPr>
        <w:pStyle w:val="ListBullet"/>
      </w:pPr>
      <w:r>
        <w:t>FAQ-MED-0012</w:t>
      </w:r>
    </w:p>
    <w:p>
      <w:pPr>
        <w:pStyle w:val="ListBullet"/>
      </w:pPr>
      <w:r>
        <w:t>DIALOGUE-MED-0003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`14_FAQ/MED/FAQ-MED-0011.md`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CASE-MED-0006 - Cliente pergunta sobre doenças femininas, parto e complicações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CASE-MED-0006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pergunta sobre doenças femininas, parto e complicações.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MED-0014 - 女性疾病保障 - Cobertura para doenças femininas</w:t>
      </w:r>
    </w:p>
    <w:p>
      <w:pPr>
        <w:pStyle w:val="ListBullet"/>
      </w:pPr>
      <w:r>
        <w:t>MED-0015 - 妊娠・出産 - Gravidez e parto</w:t>
      </w:r>
    </w:p>
    <w:p>
      <w:pPr>
        <w:pStyle w:val="ListBullet"/>
      </w:pPr>
      <w:r>
        <w:t>MED-0016 - 異常分娩 - Parto com complicação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FAQ-MED-0014</w:t>
      </w:r>
    </w:p>
    <w:p>
      <w:pPr>
        <w:pStyle w:val="ListBullet"/>
      </w:pPr>
      <w:r>
        <w:t>FAQ-MED-0015</w:t>
      </w:r>
    </w:p>
    <w:p>
      <w:pPr>
        <w:pStyle w:val="ListBullet"/>
      </w:pPr>
      <w:r>
        <w:t>FAQ-MED-0016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MED-0014</w:t>
      </w:r>
    </w:p>
    <w:p>
      <w:pPr>
        <w:pStyle w:val="ListBullet"/>
      </w:pPr>
      <w:r>
        <w:t>MED-0015</w:t>
      </w:r>
    </w:p>
    <w:p>
      <w:pPr>
        <w:pStyle w:val="ListBullet"/>
      </w:pPr>
      <w:r>
        <w:t>MED-0016</w:t>
      </w:r>
    </w:p>
    <w:p>
      <w:pPr>
        <w:pStyle w:val="ListBullet"/>
      </w:pPr>
      <w:r>
        <w:t>FAQ-MED-0014</w:t>
      </w:r>
    </w:p>
    <w:p>
      <w:pPr>
        <w:pStyle w:val="ListBullet"/>
      </w:pPr>
      <w:r>
        <w:t>FAQ-MED-0015</w:t>
      </w:r>
    </w:p>
    <w:p>
      <w:pPr>
        <w:pStyle w:val="ListBullet"/>
      </w:pPr>
      <w:r>
        <w:t>FAQ-MED-0016</w:t>
      </w:r>
    </w:p>
    <w:p>
      <w:pPr>
        <w:pStyle w:val="ListBullet"/>
      </w:pPr>
      <w:r>
        <w:t>DIALOGUE-MED-0004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`14_FAQ/MED/FAQ-MED-0014.md`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CASE-MED-0007 - Cliente tem doença crônica ou transtorno mental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CASE-MED-0007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tem doença crônica ou transtorno mental.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MED-0017 - 精神疾患 - Transtorno mental</w:t>
      </w:r>
    </w:p>
    <w:p>
      <w:pPr>
        <w:pStyle w:val="ListBullet"/>
      </w:pPr>
      <w:r>
        <w:t>MED-0018 - 持病 - Doença crônica ou condição prévia</w:t>
      </w:r>
    </w:p>
    <w:p>
      <w:pPr>
        <w:pStyle w:val="ListBullet"/>
      </w:pPr>
      <w:r>
        <w:t>MED-0019 - 告知義務 - Obrigação de declaração de saúde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FAQ-MED-0017</w:t>
      </w:r>
    </w:p>
    <w:p>
      <w:pPr>
        <w:pStyle w:val="ListBullet"/>
      </w:pPr>
      <w:r>
        <w:t>FAQ-MED-0018</w:t>
      </w:r>
    </w:p>
    <w:p>
      <w:pPr>
        <w:pStyle w:val="ListBullet"/>
      </w:pPr>
      <w:r>
        <w:t>FAQ-MED-0019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MED-0017</w:t>
      </w:r>
    </w:p>
    <w:p>
      <w:pPr>
        <w:pStyle w:val="ListBullet"/>
      </w:pPr>
      <w:r>
        <w:t>MED-0018</w:t>
      </w:r>
    </w:p>
    <w:p>
      <w:pPr>
        <w:pStyle w:val="ListBullet"/>
      </w:pPr>
      <w:r>
        <w:t>MED-0019</w:t>
      </w:r>
    </w:p>
    <w:p>
      <w:pPr>
        <w:pStyle w:val="ListBullet"/>
      </w:pPr>
      <w:r>
        <w:t>FAQ-MED-0017</w:t>
      </w:r>
    </w:p>
    <w:p>
      <w:pPr>
        <w:pStyle w:val="ListBullet"/>
      </w:pPr>
      <w:r>
        <w:t>FAQ-MED-0018</w:t>
      </w:r>
    </w:p>
    <w:p>
      <w:pPr>
        <w:pStyle w:val="ListBullet"/>
      </w:pPr>
      <w:r>
        <w:t>FAQ-MED-0019</w:t>
      </w:r>
    </w:p>
    <w:p>
      <w:pPr>
        <w:pStyle w:val="ListBullet"/>
      </w:pPr>
      <w:r>
        <w:t>DIALOGUE-MED-0005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`14_FAQ/MED/FAQ-MED-0017.md`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CASE-MED-0008 - Cliente acha que cobertura começa imediatamente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CASE-MED-0008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acha que cobertura começa imediatamente.</w:t>
      </w:r>
    </w:p>
    <w:p>
      <w:pPr>
        <w:pStyle w:val="Heading2"/>
      </w:pPr>
      <w:r>
        <w:t>Problema</w:t>
      </w:r>
    </w:p>
    <w:p>
      <w:r>
        <w:t>Cliente pode confundir seguro médico privado com sistema público, benefício contratado ou reembolso amplo de despesas.</w:t>
      </w:r>
    </w:p>
    <w:p>
      <w:pPr>
        <w:pStyle w:val="Heading2"/>
      </w:pPr>
      <w:r>
        <w:t>Análise</w:t>
      </w:r>
    </w:p>
    <w:p>
      <w:r>
        <w:t>O seguro médico privado deve ser explicado por benefício, condição de pagamento, limite, declaração de saúde e data de início.</w:t>
      </w:r>
    </w:p>
    <w:p>
      <w:pPr>
        <w:pStyle w:val="Heading2"/>
      </w:pPr>
      <w:r>
        <w:t>Orientação ao corretor</w:t>
      </w:r>
    </w:p>
    <w:p>
      <w:r>
        <w:t>Confirmar objetivo do cliente, histórico de saúde, benefícios desejados e limites de cobertura antes de comparar preço.</w:t>
      </w:r>
    </w:p>
    <w:p>
      <w:pPr>
        <w:pStyle w:val="Heading2"/>
      </w:pPr>
      <w:r>
        <w:t>Como explicar ao cliente brasileiro</w:t>
      </w:r>
    </w:p>
    <w:p>
      <w:r>
        <w:t>Vamos separar o que é sistema público e o que é benefício do seguro privado, porque cada um funciona de forma diferente.</w:t>
      </w:r>
    </w:p>
    <w:p>
      <w:pPr>
        <w:pStyle w:val="Heading2"/>
      </w:pPr>
      <w:r>
        <w:t>Resultado esperado</w:t>
      </w:r>
    </w:p>
    <w:p>
      <w:r>
        <w:t>Cliente entende a finalidade do seguro médico e evita expectativa incorreta sobre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MED-0019 - 告知義務 - Obrigação de declaração de saúde</w:t>
      </w:r>
    </w:p>
    <w:p>
      <w:pPr>
        <w:pStyle w:val="ListBullet"/>
      </w:pPr>
      <w:r>
        <w:t>MED-0020 - 責任開始日 - Data de início da cobertura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FAQ-MED-0019</w:t>
      </w:r>
    </w:p>
    <w:p>
      <w:pPr>
        <w:pStyle w:val="ListBullet"/>
      </w:pPr>
      <w:r>
        <w:t>FAQ-MED-0020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MED-0019</w:t>
      </w:r>
    </w:p>
    <w:p>
      <w:pPr>
        <w:pStyle w:val="ListBullet"/>
      </w:pPr>
      <w:r>
        <w:t>MED-0020</w:t>
      </w:r>
    </w:p>
    <w:p>
      <w:pPr>
        <w:pStyle w:val="ListBullet"/>
      </w:pPr>
      <w:r>
        <w:t>FAQ-MED-0019</w:t>
      </w:r>
    </w:p>
    <w:p>
      <w:pPr>
        <w:pStyle w:val="ListBullet"/>
      </w:pPr>
      <w:r>
        <w:t>FAQ-MED-0020</w:t>
      </w:r>
    </w:p>
    <w:p>
      <w:pPr>
        <w:pStyle w:val="ListBullet"/>
      </w:pPr>
      <w:r>
        <w:t>DIALOGUE-MED-0005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seguro-medico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`14_FAQ/MED/FAQ-MED-0019.md`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Primeiro ciclo de estudos de caso MED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