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MED_INDEX_0001 - Índice inicial de seguro médico</w:t>
      </w:r>
    </w:p>
    <w:p>
      <w:pPr>
        <w:pStyle w:val="Heading1"/>
      </w:pPr>
      <w:r>
        <w:t>Controle</w:t>
      </w:r>
    </w:p>
    <w:p>
      <w:pPr>
        <w:pStyle w:val="ListBullet"/>
        <w:spacing w:after="40"/>
      </w:pPr>
      <w:r>
        <w:t>Versão: 0.1</w:t>
      </w:r>
    </w:p>
    <w:p>
      <w:pPr>
        <w:pStyle w:val="ListBullet"/>
        <w:spacing w:after="40"/>
      </w:pPr>
      <w:r>
        <w:t>Data: 2026-06-26</w:t>
      </w:r>
    </w:p>
    <w:p>
      <w:pPr>
        <w:pStyle w:val="ListBullet"/>
        <w:spacing w:after="40"/>
      </w:pPr>
      <w:r>
        <w:t>Autor: JP-BR Insurance Knowledge Base</w:t>
      </w:r>
    </w:p>
    <w:p>
      <w:pPr>
        <w:pStyle w:val="ListBullet"/>
        <w:spacing w:after="40"/>
      </w:pPr>
      <w:r>
        <w:t>Histórico: Criação inicial.</w:t>
      </w:r>
    </w:p>
    <w:p>
      <w:pPr>
        <w:pStyle w:val="Heading1"/>
      </w:pPr>
      <w:r>
        <w:t>Título</w:t>
      </w:r>
    </w:p>
    <w:p>
      <w:pPr>
        <w:spacing w:after="80" w:line="259" w:lineRule="auto"/>
      </w:pPr>
      <w:r>
        <w:t>Índice inicial de seguro médico</w:t>
      </w:r>
    </w:p>
    <w:p>
      <w:pPr>
        <w:pStyle w:val="Heading1"/>
      </w:pPr>
      <w:r>
        <w:t>Resumo</w:t>
      </w:r>
    </w:p>
    <w:p>
      <w:pPr>
        <w:spacing w:after="80" w:line="259" w:lineRule="auto"/>
      </w:pPr>
      <w:r>
        <w:t>Este documento conecta o primeiro ciclo de verbetes, FAQs, diálogos e estudos de caso sobre seguro médico no Japão. Deve ser usado para consulta rápida, treinamento editorial e recuperação no NotebookLM.</w:t>
      </w:r>
    </w:p>
    <w:p>
      <w:pPr>
        <w:pStyle w:val="Heading1"/>
      </w:pPr>
      <w:r>
        <w:t>Palavras-chave</w:t>
      </w:r>
    </w:p>
    <w:p>
      <w:pPr>
        <w:pStyle w:val="ListBullet"/>
        <w:spacing w:after="40"/>
      </w:pPr>
      <w:r>
        <w:t>医療保険</w:t>
      </w:r>
    </w:p>
    <w:p>
      <w:pPr>
        <w:pStyle w:val="ListBullet"/>
        <w:spacing w:after="40"/>
      </w:pPr>
      <w:r>
        <w:t>入院給付金</w:t>
      </w:r>
    </w:p>
    <w:p>
      <w:pPr>
        <w:pStyle w:val="ListBullet"/>
        <w:spacing w:after="40"/>
      </w:pPr>
      <w:r>
        <w:t>手術給付金</w:t>
      </w:r>
    </w:p>
    <w:p>
      <w:pPr>
        <w:pStyle w:val="ListBullet"/>
        <w:spacing w:after="40"/>
      </w:pPr>
      <w:r>
        <w:t>通院給付金</w:t>
      </w:r>
    </w:p>
    <w:p>
      <w:pPr>
        <w:pStyle w:val="ListBullet"/>
        <w:spacing w:after="40"/>
      </w:pPr>
      <w:r>
        <w:t>先進医療</w:t>
      </w:r>
    </w:p>
    <w:p>
      <w:pPr>
        <w:pStyle w:val="ListBullet"/>
        <w:spacing w:after="40"/>
      </w:pPr>
      <w:r>
        <w:t>がん診断給付金</w:t>
      </w:r>
    </w:p>
    <w:p>
      <w:pPr>
        <w:pStyle w:val="ListBullet"/>
        <w:spacing w:after="40"/>
      </w:pPr>
      <w:r>
        <w:t>三大疾病保障</w:t>
      </w:r>
    </w:p>
    <w:p>
      <w:pPr>
        <w:pStyle w:val="ListBullet"/>
        <w:spacing w:after="40"/>
      </w:pPr>
      <w:r>
        <w:t>女性疾病保障</w:t>
      </w:r>
    </w:p>
    <w:p>
      <w:pPr>
        <w:pStyle w:val="ListBullet"/>
        <w:spacing w:after="40"/>
      </w:pPr>
      <w:r>
        <w:t>告知義務</w:t>
      </w:r>
    </w:p>
    <w:p>
      <w:pPr>
        <w:pStyle w:val="ListBullet"/>
        <w:spacing w:after="40"/>
      </w:pPr>
      <w:r>
        <w:t>seguro médico</w:t>
      </w:r>
    </w:p>
    <w:p>
      <w:pPr>
        <w:pStyle w:val="ListBullet"/>
        <w:spacing w:after="40"/>
      </w:pPr>
      <w:r>
        <w:t>internação</w:t>
      </w:r>
    </w:p>
    <w:p>
      <w:pPr>
        <w:pStyle w:val="ListBullet"/>
        <w:spacing w:after="40"/>
      </w:pPr>
      <w:r>
        <w:t>cirurgia</w:t>
      </w:r>
    </w:p>
    <w:p>
      <w:pPr>
        <w:pStyle w:val="ListBullet"/>
        <w:spacing w:after="40"/>
      </w:pPr>
      <w:r>
        <w:t>tratamento médico avançado</w:t>
      </w:r>
    </w:p>
    <w:p>
      <w:pPr>
        <w:pStyle w:val="ListBullet"/>
        <w:spacing w:after="40"/>
      </w:pPr>
      <w:r>
        <w:t>declaração de saúde</w:t>
      </w:r>
    </w:p>
    <w:p>
      <w:pPr>
        <w:pStyle w:val="Heading1"/>
      </w:pPr>
      <w:r>
        <w:t>Categorias</w:t>
      </w:r>
    </w:p>
    <w:p>
      <w:pPr>
        <w:pStyle w:val="ListBullet"/>
        <w:spacing w:after="40"/>
      </w:pPr>
      <w:r>
        <w:t>MED</w:t>
      </w:r>
    </w:p>
    <w:p>
      <w:pPr>
        <w:pStyle w:val="ListBullet"/>
        <w:spacing w:after="40"/>
      </w:pPr>
      <w:r>
        <w:t>FAQ</w:t>
      </w:r>
    </w:p>
    <w:p>
      <w:pPr>
        <w:pStyle w:val="ListBullet"/>
        <w:spacing w:after="40"/>
      </w:pPr>
      <w:r>
        <w:t>DIALOGUE</w:t>
      </w:r>
    </w:p>
    <w:p>
      <w:pPr>
        <w:pStyle w:val="ListBullet"/>
        <w:spacing w:after="40"/>
      </w:pPr>
      <w:r>
        <w:t>CASE</w:t>
      </w:r>
    </w:p>
    <w:p>
      <w:pPr>
        <w:pStyle w:val="ListBullet"/>
        <w:spacing w:after="40"/>
      </w:pPr>
      <w:r>
        <w:t>TERM</w:t>
      </w:r>
    </w:p>
    <w:p>
      <w:pPr>
        <w:pStyle w:val="Heading1"/>
      </w:pPr>
      <w:r>
        <w:t>Conteúdo</w:t>
      </w:r>
    </w:p>
    <w:p>
      <w:pPr>
        <w:pStyle w:val="Heading2"/>
      </w:pPr>
      <w:r>
        <w:t>Verbetes principais</w:t>
      </w:r>
    </w:p>
    <w:p>
      <w:pPr>
        <w:pStyle w:val="ListBullet"/>
        <w:spacing w:after="40"/>
      </w:pPr>
      <w:r>
        <w:t>MED-0001 - 医療保険 - Seguro médico</w:t>
      </w:r>
    </w:p>
    <w:p>
      <w:pPr>
        <w:pStyle w:val="ListBullet"/>
        <w:spacing w:after="40"/>
      </w:pPr>
      <w:r>
        <w:t>MED-0002 - 入院給付金 - Benefício por internação</w:t>
      </w:r>
    </w:p>
    <w:p>
      <w:pPr>
        <w:pStyle w:val="ListBullet"/>
        <w:spacing w:after="40"/>
      </w:pPr>
      <w:r>
        <w:t>MED-0003 - 手術給付金 - Benefício por cirurgia</w:t>
      </w:r>
    </w:p>
    <w:p>
      <w:pPr>
        <w:pStyle w:val="ListBullet"/>
        <w:spacing w:after="40"/>
      </w:pPr>
      <w:r>
        <w:t>MED-0004 - 通院給付金 - Benefício por tratamento ambulatorial</w:t>
      </w:r>
    </w:p>
    <w:p>
      <w:pPr>
        <w:pStyle w:val="ListBullet"/>
        <w:spacing w:after="40"/>
      </w:pPr>
      <w:r>
        <w:t>MED-0005 - 日額 - Valor diário</w:t>
      </w:r>
    </w:p>
    <w:p>
      <w:pPr>
        <w:pStyle w:val="ListBullet"/>
        <w:spacing w:after="40"/>
      </w:pPr>
      <w:r>
        <w:t>MED-0006 - 入院日数 - Número de dias de internação</w:t>
      </w:r>
    </w:p>
    <w:p>
      <w:pPr>
        <w:pStyle w:val="ListBullet"/>
        <w:spacing w:after="40"/>
      </w:pPr>
      <w:r>
        <w:t>MED-0007 - 支払限度日数 - Limite de dias pagos</w:t>
      </w:r>
    </w:p>
    <w:p>
      <w:pPr>
        <w:pStyle w:val="ListBullet"/>
        <w:spacing w:after="40"/>
      </w:pPr>
      <w:r>
        <w:t>MED-0008 - 免責期間 - Período de carência ou não pagamento</w:t>
      </w:r>
    </w:p>
    <w:p>
      <w:pPr>
        <w:pStyle w:val="ListBullet"/>
        <w:spacing w:after="40"/>
      </w:pPr>
      <w:r>
        <w:t>MED-0009 - 先進医療 - Tratamento médico avançado</w:t>
      </w:r>
    </w:p>
    <w:p>
      <w:pPr>
        <w:pStyle w:val="ListBullet"/>
        <w:spacing w:after="40"/>
      </w:pPr>
      <w:r>
        <w:t>MED-0010 - 先進医療給付金 - Benefício de tratamento médico avançado</w:t>
      </w:r>
    </w:p>
    <w:p>
      <w:pPr>
        <w:pStyle w:val="ListBullet"/>
        <w:spacing w:after="40"/>
      </w:pPr>
      <w:r>
        <w:t>MED-0011 - がん診断給付金 - Benefício por diagnóstico de câncer</w:t>
      </w:r>
    </w:p>
    <w:p>
      <w:pPr>
        <w:pStyle w:val="ListBullet"/>
        <w:spacing w:after="40"/>
      </w:pPr>
      <w:r>
        <w:t>MED-0012 - 三大疾病保障 - Cobertura para três doenças graves</w:t>
      </w:r>
    </w:p>
    <w:p>
      <w:pPr>
        <w:pStyle w:val="ListBullet"/>
        <w:spacing w:after="40"/>
      </w:pPr>
      <w:r>
        <w:t>MED-0013 - 生活習慣病保障 - Cobertura para doenças relacionadas ao estilo de vida</w:t>
      </w:r>
    </w:p>
    <w:p>
      <w:pPr>
        <w:pStyle w:val="ListBullet"/>
        <w:spacing w:after="40"/>
      </w:pPr>
      <w:r>
        <w:t>MED-0014 - 女性疾病保障 - Cobertura para doenças femininas</w:t>
      </w:r>
    </w:p>
    <w:p>
      <w:pPr>
        <w:pStyle w:val="ListBullet"/>
        <w:spacing w:after="40"/>
      </w:pPr>
      <w:r>
        <w:t>MED-0015 - 妊娠・出産 - Gravidez e parto</w:t>
      </w:r>
    </w:p>
    <w:p>
      <w:pPr>
        <w:pStyle w:val="ListBullet"/>
        <w:spacing w:after="40"/>
      </w:pPr>
      <w:r>
        <w:t>MED-0016 - 異常分娩 - Parto com complicação</w:t>
      </w:r>
    </w:p>
    <w:p>
      <w:pPr>
        <w:pStyle w:val="ListBullet"/>
        <w:spacing w:after="40"/>
      </w:pPr>
      <w:r>
        <w:t>MED-0017 - 精神疾患 - Transtorno mental</w:t>
      </w:r>
    </w:p>
    <w:p>
      <w:pPr>
        <w:pStyle w:val="ListBullet"/>
        <w:spacing w:after="40"/>
      </w:pPr>
      <w:r>
        <w:t>MED-0018 - 持病 - Doença crônica ou condição prévia</w:t>
      </w:r>
    </w:p>
    <w:p>
      <w:pPr>
        <w:pStyle w:val="ListBullet"/>
        <w:spacing w:after="40"/>
      </w:pPr>
      <w:r>
        <w:t>MED-0019 - 告知義務 - Obrigação de declaração de saúde</w:t>
      </w:r>
    </w:p>
    <w:p>
      <w:pPr>
        <w:pStyle w:val="ListBullet"/>
        <w:spacing w:after="40"/>
      </w:pPr>
      <w:r>
        <w:t>MED-0020 - 責任開始日 - Data de início da cobertura</w:t>
      </w:r>
    </w:p>
    <w:p>
      <w:pPr>
        <w:pStyle w:val="Heading2"/>
      </w:pPr>
      <w:r>
        <w:t>FAQs relacionadas</w:t>
      </w:r>
    </w:p>
    <w:p>
      <w:pPr>
        <w:pStyle w:val="ListBullet"/>
        <w:spacing w:after="40"/>
      </w:pPr>
      <w:r>
        <w:t>FAQ-MED-0001 - O que é seguro médico no Japão?</w:t>
      </w:r>
    </w:p>
    <w:p>
      <w:pPr>
        <w:pStyle w:val="ListBullet"/>
        <w:spacing w:after="40"/>
      </w:pPr>
      <w:r>
        <w:t>FAQ-MED-0002 - Como funciona benefício por internação?</w:t>
      </w:r>
    </w:p>
    <w:p>
      <w:pPr>
        <w:pStyle w:val="ListBullet"/>
        <w:spacing w:after="40"/>
      </w:pPr>
      <w:r>
        <w:t>FAQ-MED-0003 - Toda cirurgia é coberta?</w:t>
      </w:r>
    </w:p>
    <w:p>
      <w:pPr>
        <w:pStyle w:val="ListBullet"/>
        <w:spacing w:after="40"/>
      </w:pPr>
      <w:r>
        <w:t>FAQ-MED-0004 - Tratamento sem internação pode gerar benefício?</w:t>
      </w:r>
    </w:p>
    <w:p>
      <w:pPr>
        <w:pStyle w:val="ListBullet"/>
        <w:spacing w:after="40"/>
      </w:pPr>
      <w:r>
        <w:t>FAQ-MED-0005 - O que significa valor diário?</w:t>
      </w:r>
    </w:p>
    <w:p>
      <w:pPr>
        <w:pStyle w:val="ListBullet"/>
        <w:spacing w:after="40"/>
      </w:pPr>
      <w:r>
        <w:t>FAQ-MED-0006 - Como são contados os dias de internação?</w:t>
      </w:r>
    </w:p>
    <w:p>
      <w:pPr>
        <w:pStyle w:val="ListBullet"/>
        <w:spacing w:after="40"/>
      </w:pPr>
      <w:r>
        <w:t>FAQ-MED-0007 - Existe limite de dias pagos?</w:t>
      </w:r>
    </w:p>
    <w:p>
      <w:pPr>
        <w:pStyle w:val="ListBullet"/>
        <w:spacing w:after="40"/>
      </w:pPr>
      <w:r>
        <w:t>FAQ-MED-0008 - Existe período em que o seguro não paga?</w:t>
      </w:r>
    </w:p>
    <w:p>
      <w:pPr>
        <w:pStyle w:val="ListBullet"/>
        <w:spacing w:after="40"/>
      </w:pPr>
      <w:r>
        <w:t>FAQ-MED-0009 - O que é tratamento médico avançado?</w:t>
      </w:r>
    </w:p>
    <w:p>
      <w:pPr>
        <w:pStyle w:val="ListBullet"/>
        <w:spacing w:after="40"/>
      </w:pPr>
      <w:r>
        <w:t>FAQ-MED-0010 - Como funciona benefício de tratamento avançado?</w:t>
      </w:r>
    </w:p>
    <w:p>
      <w:pPr>
        <w:pStyle w:val="ListBullet"/>
        <w:spacing w:after="40"/>
      </w:pPr>
      <w:r>
        <w:t>FAQ-MED-0011 - Quando recebo benefício por diagnóstico de câncer?</w:t>
      </w:r>
    </w:p>
    <w:p>
      <w:pPr>
        <w:pStyle w:val="ListBullet"/>
        <w:spacing w:after="40"/>
      </w:pPr>
      <w:r>
        <w:t>FAQ-MED-0012 - Quais são as três doenças graves?</w:t>
      </w:r>
    </w:p>
    <w:p>
      <w:pPr>
        <w:pStyle w:val="ListBullet"/>
        <w:spacing w:after="40"/>
      </w:pPr>
      <w:r>
        <w:t>FAQ-MED-0013 - O que são doenças relacionadas ao estilo de vida?</w:t>
      </w:r>
    </w:p>
    <w:p>
      <w:pPr>
        <w:pStyle w:val="ListBullet"/>
        <w:spacing w:after="40"/>
      </w:pPr>
      <w:r>
        <w:t>FAQ-MED-0014 - Para que serve cobertura de doenças femininas?</w:t>
      </w:r>
    </w:p>
    <w:p>
      <w:pPr>
        <w:pStyle w:val="ListBullet"/>
        <w:spacing w:after="40"/>
      </w:pPr>
      <w:r>
        <w:t>FAQ-MED-0015 - Gravidez e parto são cobertos?</w:t>
      </w:r>
    </w:p>
    <w:p>
      <w:pPr>
        <w:pStyle w:val="ListBullet"/>
        <w:spacing w:after="40"/>
      </w:pPr>
      <w:r>
        <w:t>FAQ-MED-0016 - Parto com complicação pode ter cobertura diferente?</w:t>
      </w:r>
    </w:p>
    <w:p>
      <w:pPr>
        <w:pStyle w:val="ListBullet"/>
        <w:spacing w:after="40"/>
      </w:pPr>
      <w:r>
        <w:t>FAQ-MED-0017 - Transtorno mental é coberto?</w:t>
      </w:r>
    </w:p>
    <w:p>
      <w:pPr>
        <w:pStyle w:val="ListBullet"/>
        <w:spacing w:after="40"/>
      </w:pPr>
      <w:r>
        <w:t>FAQ-MED-0018 - Doença que eu já tenho influencia o seguro?</w:t>
      </w:r>
    </w:p>
    <w:p>
      <w:pPr>
        <w:pStyle w:val="ListBullet"/>
        <w:spacing w:after="40"/>
      </w:pPr>
      <w:r>
        <w:t>FAQ-MED-0019 - Por que preciso declarar minha saúde?</w:t>
      </w:r>
    </w:p>
    <w:p>
      <w:pPr>
        <w:pStyle w:val="ListBullet"/>
        <w:spacing w:after="40"/>
      </w:pPr>
      <w:r>
        <w:t>FAQ-MED-0020 - Quando começa a cobertura médica?</w:t>
      </w:r>
    </w:p>
    <w:p>
      <w:pPr>
        <w:pStyle w:val="Heading2"/>
      </w:pPr>
      <w:r>
        <w:t>Diálogos relacionados</w:t>
      </w:r>
    </w:p>
    <w:p>
      <w:pPr>
        <w:pStyle w:val="ListBullet"/>
        <w:spacing w:after="40"/>
      </w:pPr>
      <w:r>
        <w:t>DIALOGUE-MED-0001 - Explicando seguro médico, internação e cirurgia</w:t>
      </w:r>
    </w:p>
    <w:p>
      <w:pPr>
        <w:pStyle w:val="ListBullet"/>
        <w:spacing w:after="40"/>
      </w:pPr>
      <w:r>
        <w:t>DIALOGUE-MED-0002 - Explicando valor diário, dias pagos e limite</w:t>
      </w:r>
    </w:p>
    <w:p>
      <w:pPr>
        <w:pStyle w:val="ListBullet"/>
        <w:spacing w:after="40"/>
      </w:pPr>
      <w:r>
        <w:t>DIALOGUE-MED-0003 - Orientando tratamento avançado, câncer e três doenças graves</w:t>
      </w:r>
    </w:p>
    <w:p>
      <w:pPr>
        <w:pStyle w:val="ListBullet"/>
        <w:spacing w:after="40"/>
      </w:pPr>
      <w:r>
        <w:t>DIALOGUE-MED-0004 - Comparando doenças de estilo de vida, femininas e parto</w:t>
      </w:r>
    </w:p>
    <w:p>
      <w:pPr>
        <w:pStyle w:val="ListBullet"/>
        <w:spacing w:after="40"/>
      </w:pPr>
      <w:r>
        <w:t>DIALOGUE-MED-0005 - Explicando saúde mental, doença prévia, declaração e início de cobertura</w:t>
      </w:r>
    </w:p>
    <w:p>
      <w:pPr>
        <w:pStyle w:val="Heading2"/>
      </w:pPr>
      <w:r>
        <w:t>Estudos de caso relacionados</w:t>
      </w:r>
    </w:p>
    <w:p>
      <w:pPr>
        <w:pStyle w:val="ListBullet"/>
        <w:spacing w:after="40"/>
      </w:pPr>
      <w:r>
        <w:t>CASE-MED-0001 - Cliente quer entender diferença entre seguro médico e sistema público</w:t>
      </w:r>
    </w:p>
    <w:p>
      <w:pPr>
        <w:pStyle w:val="ListBullet"/>
        <w:spacing w:after="40"/>
      </w:pPr>
      <w:r>
        <w:t>CASE-MED-0002 - Cliente pergunta se cirurgia e tratamento ambulatorial são cobertos</w:t>
      </w:r>
    </w:p>
    <w:p>
      <w:pPr>
        <w:pStyle w:val="ListBullet"/>
        <w:spacing w:after="40"/>
      </w:pPr>
      <w:r>
        <w:t>CASE-MED-0003 - Cliente não entende valor diário e limite de dias pagos</w:t>
      </w:r>
    </w:p>
    <w:p>
      <w:pPr>
        <w:pStyle w:val="ListBullet"/>
        <w:spacing w:after="40"/>
      </w:pPr>
      <w:r>
        <w:t>CASE-MED-0004 - Cliente pergunta sobre tratamento médico avançado</w:t>
      </w:r>
    </w:p>
    <w:p>
      <w:pPr>
        <w:pStyle w:val="ListBullet"/>
        <w:spacing w:after="40"/>
      </w:pPr>
      <w:r>
        <w:t>CASE-MED-0005 - Cliente quer cobertura para câncer e três doenças graves</w:t>
      </w:r>
    </w:p>
    <w:p>
      <w:pPr>
        <w:pStyle w:val="ListBullet"/>
        <w:spacing w:after="40"/>
      </w:pPr>
      <w:r>
        <w:t>CASE-MED-0006 - Cliente pergunta sobre doenças femininas, parto e complicações</w:t>
      </w:r>
    </w:p>
    <w:p>
      <w:pPr>
        <w:pStyle w:val="ListBullet"/>
        <w:spacing w:after="40"/>
      </w:pPr>
      <w:r>
        <w:t>CASE-MED-0007 - Cliente tem doença crônica ou transtorno mental</w:t>
      </w:r>
    </w:p>
    <w:p>
      <w:pPr>
        <w:pStyle w:val="ListBullet"/>
        <w:spacing w:after="40"/>
      </w:pPr>
      <w:r>
        <w:t>CASE-MED-0008 - Cliente acha que cobertura começa imediatamente</w:t>
      </w:r>
    </w:p>
    <w:p>
      <w:pPr>
        <w:pStyle w:val="Heading1"/>
      </w:pPr>
      <w:r>
        <w:t>Mapa de referências cruzadas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</w:tcPr>
          <w:p>
            <w:r>
              <w:rPr>
                <w:rFonts w:ascii="Arial" w:hAnsi="Arial" w:eastAsia="Yu Gothic"/>
                <w:b/>
                <w:sz w:val="17"/>
              </w:rPr>
              <w:t>Tema</w:t>
            </w:r>
          </w:p>
        </w:tc>
        <w:tc>
          <w:tcPr>
            <w:tcW w:type="dxa" w:w="1958"/>
            <w:shd w:fill="D9EAF7"/>
          </w:tcPr>
          <w:p>
            <w:r>
              <w:rPr>
                <w:rFonts w:ascii="Arial" w:hAnsi="Arial" w:eastAsia="Yu Gothic"/>
                <w:b/>
                <w:sz w:val="17"/>
              </w:rPr>
              <w:t>Verbetes</w:t>
            </w:r>
          </w:p>
        </w:tc>
        <w:tc>
          <w:tcPr>
            <w:tcW w:type="dxa" w:w="1958"/>
            <w:shd w:fill="D9EAF7"/>
          </w:tcPr>
          <w:p>
            <w:r>
              <w:rPr>
                <w:rFonts w:ascii="Arial" w:hAnsi="Arial" w:eastAsia="Yu Gothic"/>
                <w:b/>
                <w:sz w:val="17"/>
              </w:rPr>
              <w:t>FAQs</w:t>
            </w:r>
          </w:p>
        </w:tc>
        <w:tc>
          <w:tcPr>
            <w:tcW w:type="dxa" w:w="1958"/>
            <w:shd w:fill="D9EAF7"/>
          </w:tcPr>
          <w:p>
            <w:r>
              <w:rPr>
                <w:rFonts w:ascii="Arial" w:hAnsi="Arial" w:eastAsia="Yu Gothic"/>
                <w:b/>
                <w:sz w:val="17"/>
              </w:rPr>
              <w:t>Diálogos</w:t>
            </w:r>
          </w:p>
        </w:tc>
        <w:tc>
          <w:tcPr>
            <w:tcW w:type="dxa" w:w="1958"/>
            <w:shd w:fill="D9EAF7"/>
          </w:tcPr>
          <w:p>
            <w:r>
              <w:rPr>
                <w:rFonts w:ascii="Arial" w:hAnsi="Arial" w:eastAsia="Yu Gothic"/>
                <w:b/>
                <w:sz w:val="17"/>
              </w:rPr>
              <w:t>Casos</w:t>
            </w:r>
          </w:p>
        </w:tc>
      </w:tr>
      <w:tr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Fundamentos e benefícios básicos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MED-0001, MED-0002, MED-0003, MED-0004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FAQ-MED-0001, FAQ-MED-0002, FAQ-MED-0003, FAQ-MED-0004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DIALOGUE-MED-0001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CASE-MED-0001, CASE-MED-0002</w:t>
            </w:r>
          </w:p>
        </w:tc>
      </w:tr>
      <w:tr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Valor diário, dias e limites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MED-0005, MED-0006, MED-0007, MED-0008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FAQ-MED-0005, FAQ-MED-0006, FAQ-MED-0007, FAQ-MED-0008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DIALOGUE-MED-0002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CASE-MED-0003</w:t>
            </w:r>
          </w:p>
        </w:tc>
      </w:tr>
      <w:tr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Tratamento avançado e doenças graves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MED-0009, MED-0010, MED-0011, MED-0012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FAQ-MED-0009, FAQ-MED-0010, FAQ-MED-0011, FAQ-MED-0012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DIALOGUE-MED-0003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CASE-MED-0004, CASE-MED-0005</w:t>
            </w:r>
          </w:p>
        </w:tc>
      </w:tr>
      <w:tr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Coberturas específicas e declaração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MED-0013, MED-0014, MED-0015, MED-0016, MED-0017, MED-0018, MED-0019, MED-0020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FAQ-MED-0013, FAQ-MED-0014, FAQ-MED-0015, FAQ-MED-0016, FAQ-MED-0017, FAQ-MED-0018, FAQ-MED-0019, FAQ-MED-0020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DIALOGUE-MED-0004, DIALOGUE-MED-0005</w:t>
            </w:r>
          </w:p>
        </w:tc>
        <w:tc>
          <w:tcPr>
            <w:tcW w:type="dxa" w:w="1958"/>
            <w:shd w:fill="FFFFFF"/>
          </w:tcPr>
          <w:p>
            <w:r>
              <w:rPr>
                <w:rFonts w:ascii="Arial" w:hAnsi="Arial" w:eastAsia="Yu Gothic"/>
                <w:sz w:val="17"/>
              </w:rPr>
              <w:t>CASE-MED-0006, CASE-MED-0007, CASE-MED-0008</w:t>
            </w:r>
          </w:p>
        </w:tc>
      </w:tr>
    </w:tbl>
    <w:p/>
    <w:p>
      <w:pPr>
        <w:pStyle w:val="Heading1"/>
      </w:pPr>
      <w:r>
        <w:t>Referências</w:t>
      </w:r>
    </w:p>
    <w:p>
      <w:pPr>
        <w:pStyle w:val="ListBullet"/>
        <w:spacing w:after="40"/>
      </w:pPr>
      <w:r>
        <w:t>`02_MasterDictionary/MED/`</w:t>
      </w:r>
    </w:p>
    <w:p>
      <w:pPr>
        <w:pStyle w:val="ListBullet"/>
        <w:spacing w:after="40"/>
      </w:pPr>
      <w:r>
        <w:t>`14_FAQ/MED/`</w:t>
      </w:r>
    </w:p>
    <w:p>
      <w:pPr>
        <w:pStyle w:val="ListBullet"/>
        <w:spacing w:after="40"/>
      </w:pPr>
      <w:r>
        <w:t>`13_Dialogues/MED/`</w:t>
      </w:r>
    </w:p>
    <w:p>
      <w:pPr>
        <w:pStyle w:val="ListBullet"/>
        <w:spacing w:after="40"/>
      </w:pPr>
      <w:r>
        <w:t>`15_CaseStudies/MED/`</w:t>
      </w:r>
    </w:p>
    <w:p>
      <w:pPr>
        <w:pStyle w:val="ListBullet"/>
        <w:spacing w:after="40"/>
      </w:pPr>
      <w:r>
        <w:t>`EDITORIAL_RULES.md`</w:t>
      </w:r>
    </w:p>
    <w:p>
      <w:pPr>
        <w:pStyle w:val="ListBullet"/>
        <w:spacing w:after="40"/>
      </w:pPr>
      <w:r>
        <w:t>`README.md`</w:t>
      </w:r>
    </w:p>
    <w:p>
      <w:pPr>
        <w:pStyle w:val="Heading1"/>
      </w:pPr>
      <w:r>
        <w:t>Veja também</w:t>
      </w:r>
    </w:p>
    <w:p>
      <w:pPr>
        <w:pStyle w:val="ListBullet"/>
        <w:spacing w:after="40"/>
      </w:pPr>
      <w:r>
        <w:t>`19_Markdown/MED/MED_TERMS_0001_0020.md`</w:t>
      </w:r>
    </w:p>
    <w:p>
      <w:pPr>
        <w:pStyle w:val="ListBullet"/>
        <w:spacing w:after="40"/>
      </w:pPr>
      <w:r>
        <w:t>`19_Markdown/MED/MED_FAQ_0001_0020.md`</w:t>
      </w:r>
    </w:p>
    <w:p>
      <w:pPr>
        <w:pStyle w:val="ListBullet"/>
        <w:spacing w:after="40"/>
      </w:pPr>
      <w:r>
        <w:t>`19_Markdown/MED/MED_DIALOGUES_0001_0005.md`</w:t>
      </w:r>
    </w:p>
    <w:p>
      <w:pPr>
        <w:pStyle w:val="ListBullet"/>
        <w:spacing w:after="40"/>
      </w:pPr>
      <w:r>
        <w:t>`19_Markdown/MED/MED_CASES_0001_0008.md`</w:t>
      </w:r>
    </w:p>
    <w:p>
      <w:pPr>
        <w:pStyle w:val="Heading1"/>
      </w:pPr>
      <w:r>
        <w:t>Histórico de revisão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</w:tcPr>
          <w:p>
            <w:r>
              <w:rPr>
                <w:rFonts w:ascii="Arial" w:hAnsi="Arial" w:eastAsia="Yu Gothic"/>
                <w:b/>
                <w:sz w:val="17"/>
              </w:rPr>
              <w:t>Data</w:t>
            </w:r>
          </w:p>
        </w:tc>
        <w:tc>
          <w:tcPr>
            <w:tcW w:type="dxa" w:w="2448"/>
            <w:shd w:fill="D9EAF7"/>
          </w:tcPr>
          <w:p>
            <w:r>
              <w:rPr>
                <w:rFonts w:ascii="Arial" w:hAnsi="Arial" w:eastAsia="Yu Gothic"/>
                <w:b/>
                <w:sz w:val="17"/>
              </w:rPr>
              <w:t>Versão</w:t>
            </w:r>
          </w:p>
        </w:tc>
        <w:tc>
          <w:tcPr>
            <w:tcW w:type="dxa" w:w="2448"/>
            <w:shd w:fill="D9EAF7"/>
          </w:tcPr>
          <w:p>
            <w:r>
              <w:rPr>
                <w:rFonts w:ascii="Arial" w:hAnsi="Arial" w:eastAsia="Yu Gothic"/>
                <w:b/>
                <w:sz w:val="17"/>
              </w:rPr>
              <w:t>Autor</w:t>
            </w:r>
          </w:p>
        </w:tc>
        <w:tc>
          <w:tcPr>
            <w:tcW w:type="dxa" w:w="2448"/>
            <w:shd w:fill="D9EAF7"/>
          </w:tcPr>
          <w:p>
            <w:r>
              <w:rPr>
                <w:rFonts w:ascii="Arial" w:hAnsi="Arial" w:eastAsia="Yu Gothic"/>
                <w:b/>
                <w:sz w:val="17"/>
              </w:rPr>
              <w:t>Alteração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rFonts w:ascii="Arial" w:hAnsi="Arial" w:eastAsia="Yu Gothic"/>
                <w:sz w:val="17"/>
              </w:rPr>
              <w:t>2026-06-26</w:t>
            </w:r>
          </w:p>
        </w:tc>
        <w:tc>
          <w:tcPr>
            <w:tcW w:type="dxa" w:w="2448"/>
            <w:shd w:fill="FFFFFF"/>
          </w:tcPr>
          <w:p>
            <w:r>
              <w:rPr>
                <w:rFonts w:ascii="Arial" w:hAnsi="Arial" w:eastAsia="Yu Gothic"/>
                <w:sz w:val="17"/>
              </w:rPr>
              <w:t>0.1</w:t>
            </w:r>
          </w:p>
        </w:tc>
        <w:tc>
          <w:tcPr>
            <w:tcW w:type="dxa" w:w="2448"/>
            <w:shd w:fill="FFFFFF"/>
          </w:tcPr>
          <w:p>
            <w:r>
              <w:rPr>
                <w:rFonts w:ascii="Arial" w:hAnsi="Arial" w:eastAsia="Yu Gothic"/>
                <w:sz w:val="17"/>
              </w:rPr>
              <w:t>JP-BR Insurance Knowledge Base</w:t>
            </w:r>
          </w:p>
        </w:tc>
        <w:tc>
          <w:tcPr>
            <w:tcW w:type="dxa" w:w="2448"/>
            <w:shd w:fill="FFFFFF"/>
          </w:tcPr>
          <w:p>
            <w:r>
              <w:rPr>
                <w:rFonts w:ascii="Arial" w:hAnsi="Arial" w:eastAsia="Yu Gothic"/>
                <w:sz w:val="17"/>
              </w:rPr>
              <w:t>Criação inicial.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Yu Gothic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