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81BD"/>
          <w:sz w:val="32"/>
        </w:rPr>
        <w:t>DIALOGUE-0000 - Contexto prático da conversa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AAAA-MM-DD</w:t>
      </w:r>
    </w:p>
    <w:p>
      <w:pPr>
        <w:pStyle w:val="ListBullet"/>
      </w:pPr>
      <w:r>
        <w:t>Autor:</w:t>
      </w:r>
    </w:p>
    <w:p>
      <w:pPr>
        <w:pStyle w:val="ListBullet"/>
      </w:pPr>
      <w:r>
        <w:t>Histórico: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DIALOGUE-0000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Descrever a situação prática da conversa entre corretor japonês e cliente brasileiro residente no Japão.</w:t>
      </w:r>
    </w:p>
    <w:p>
      <w:pPr>
        <w:pStyle w:val="Heading2"/>
      </w:pPr>
      <w:r>
        <w:rPr>
          <w:color w:val="4F81BD"/>
          <w:sz w:val="28"/>
        </w:rPr>
        <w:t>Participantes</w:t>
      </w:r>
    </w:p>
    <w:p>
      <w:pPr>
        <w:pStyle w:val="ListBullet"/>
      </w:pPr>
      <w:r>
        <w:t>Corretor:</w:t>
      </w:r>
    </w:p>
    <w:p>
      <w:pPr>
        <w:pStyle w:val="ListBullet"/>
      </w:pPr>
      <w:r>
        <w:t>Cliente:</w:t>
      </w:r>
    </w:p>
    <w:p>
      <w:pPr>
        <w:pStyle w:val="Heading2"/>
      </w:pPr>
      <w:r>
        <w:rPr>
          <w:color w:val="4F81BD"/>
          <w:sz w:val="28"/>
        </w:rPr>
        <w:t>Objetivo do diálogo</w:t>
      </w:r>
    </w:p>
    <w:p>
      <w:r>
        <w:t>Indicar o objetivo comercial, técnico ou explicativo da conversa.</w:t>
      </w:r>
    </w:p>
    <w:p>
      <w:pPr>
        <w:pStyle w:val="Heading2"/>
      </w:pPr>
      <w:r>
        <w:rPr>
          <w:color w:val="4F81BD"/>
          <w:sz w:val="28"/>
        </w:rPr>
        <w:t>Consulta natural em japonês</w:t>
      </w:r>
    </w:p>
    <w:p>
      <w:pPr>
        <w:pStyle w:val="ListBullet"/>
      </w:pPr>
      <w:r>
        <w:t>Corretor japonês pesquisa no NotebookLM usando uma frase natural em japonês, sem romaji.</w:t>
      </w:r>
    </w:p>
    <w:p>
      <w:pPr>
        <w:pStyle w:val="Heading2"/>
      </w:pPr>
      <w:r>
        <w:rPr>
          <w:color w:val="4F81BD"/>
          <w:sz w:val="28"/>
        </w:rPr>
        <w:t>Versão em japonês</w:t>
      </w:r>
    </w:p>
    <w:p>
      <w:r>
        <w:t>Corretor:</w:t>
      </w:r>
    </w:p>
    <w:p>
      <w:r>
        <w:t>Cliente:</w:t>
      </w:r>
    </w:p>
    <w:p>
      <w:r>
        <w:t>Corretor:</w:t>
      </w:r>
    </w:p>
    <w:p>
      <w:pPr>
        <w:pStyle w:val="Heading2"/>
      </w:pPr>
      <w:r>
        <w:rPr>
          <w:color w:val="4F81BD"/>
          <w:sz w:val="28"/>
        </w:rPr>
        <w:t>Versão em português brasileiro</w:t>
      </w:r>
    </w:p>
    <w:p>
      <w:r>
        <w:t>Corretor:</w:t>
      </w:r>
    </w:p>
    <w:p>
      <w:r>
        <w:t>Cliente:</w:t>
      </w:r>
    </w:p>
    <w:p>
      <w:r>
        <w:t>Corretor:</w:t>
      </w:r>
    </w:p>
    <w:p>
      <w:pPr>
        <w:pStyle w:val="Heading2"/>
      </w:pPr>
      <w:r>
        <w:rPr>
          <w:color w:val="4F81BD"/>
          <w:sz w:val="28"/>
        </w:rPr>
        <w:t>Notas culturais ou comerciais</w:t>
      </w:r>
    </w:p>
    <w:p>
      <w:r>
        <w:t>-</w:t>
      </w:r>
    </w:p>
    <w:p>
      <w:pPr>
        <w:pStyle w:val="Heading2"/>
      </w:pPr>
      <w:r>
        <w:rPr>
          <w:color w:val="4F81BD"/>
          <w:sz w:val="28"/>
        </w:rPr>
        <w:t>Objeção provável do cliente</w:t>
      </w:r>
    </w:p>
    <w:p>
      <w:pPr>
        <w:pStyle w:val="ListBullet"/>
      </w:pPr>
      <w:r>
        <w:t>Registrar uma objeção realista do cliente brasileiro e uma resposta segura do corretor.</w:t>
      </w:r>
    </w:p>
    <w:p>
      <w:pPr>
        <w:pStyle w:val="Heading2"/>
      </w:pPr>
      <w:r>
        <w:rPr>
          <w:color w:val="4F81BD"/>
          <w:sz w:val="28"/>
        </w:rPr>
        <w:t>Pontos de atenção para o corretor</w:t>
      </w:r>
    </w:p>
    <w:p>
      <w:pPr>
        <w:pStyle w:val="ListBullet"/>
      </w:pPr>
      <w:r>
        <w:t>Indicar o que o corretor deve confirmar, explicar ou evitar prometer.</w:t>
      </w:r>
    </w:p>
    <w:p>
      <w:pPr>
        <w:pStyle w:val="Heading2"/>
      </w:pPr>
      <w:r>
        <w:rPr>
          <w:color w:val="4F81BD"/>
          <w:sz w:val="28"/>
        </w:rPr>
        <w:t>Limite comercial/compliance</w:t>
      </w:r>
    </w:p>
    <w:p>
      <w:r>
        <w:t>Usar quando o dialogo tratar de aceitacao, recusa, sinistro, pagamento, exclusao, imposto, culpa, declaracao de saude, prazo, beneficiario ou alteracao contratual.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CATEGORIA-0000 - Termo relacionado</w:t>
      </w:r>
    </w:p>
    <w:p>
      <w:pPr>
        <w:pStyle w:val="Heading2"/>
      </w:pPr>
      <w:r>
        <w:rPr>
          <w:color w:val="4F81BD"/>
          <w:sz w:val="28"/>
        </w:rPr>
        <w:t>FAQs relacionadas</w:t>
      </w:r>
    </w:p>
    <w:p>
      <w:pPr>
        <w:pStyle w:val="ListBullet"/>
      </w:pPr>
      <w:r>
        <w:t>FAQ-0000 - Pergunta relacionada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CATEGORIA-0000</w:t>
      </w:r>
    </w:p>
    <w:p>
      <w:pPr>
        <w:pStyle w:val="ListBullet"/>
      </w:pPr>
      <w:r>
        <w:t>FAQ-0000</w:t>
      </w:r>
    </w:p>
    <w:p>
      <w:pPr>
        <w:pStyle w:val="ListBullet"/>
      </w:pPr>
      <w:r>
        <w:t>CASE-0000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</w:t>
      </w:r>
    </w:p>
    <w:p>
      <w:pPr>
        <w:pStyle w:val="ListBullet"/>
      </w:pPr>
      <w:r>
        <w:t>Fonte externa: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tag-1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02_MasterDictionary/TERM_TEMPLATE.md</w:t>
      </w:r>
    </w:p>
    <w:p>
      <w:pPr>
        <w:pStyle w:val="ListBullet"/>
      </w:pPr>
      <w:r>
        <w:t>14_FAQ/FAQ_TEMPLATE.md</w:t>
      </w:r>
    </w:p>
    <w:p>
      <w:pPr>
        <w:pStyle w:val="ListBullet"/>
      </w:pPr>
      <w:r>
        <w:t>15_CaseStudies/CASE_TEMPLATE.md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AAAA-MM-DD | 0.1 |  | Criação inicial.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