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4F81BD"/>
          <w:sz w:val="32"/>
        </w:rPr>
        <w:t>FAQ-0000 - Pergunta real de atendimento?</w:t>
      </w:r>
    </w:p>
    <w:p>
      <w:pPr>
        <w:pStyle w:val="Heading2"/>
      </w:pPr>
      <w:r>
        <w:rPr>
          <w:color w:val="4F81BD"/>
          <w:sz w:val="28"/>
        </w:rP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AAAA-MM-DD</w:t>
      </w:r>
    </w:p>
    <w:p>
      <w:pPr>
        <w:pStyle w:val="ListBullet"/>
      </w:pPr>
      <w:r>
        <w:t>Autor:</w:t>
      </w:r>
    </w:p>
    <w:p>
      <w:pPr>
        <w:pStyle w:val="ListBullet"/>
      </w:pPr>
      <w:r>
        <w:t>Histórico:</w:t>
      </w:r>
    </w:p>
    <w:p>
      <w:pPr>
        <w:pStyle w:val="Heading2"/>
      </w:pPr>
      <w:r>
        <w:rPr>
          <w:color w:val="4F81BD"/>
          <w:sz w:val="28"/>
        </w:rPr>
        <w:t>Código</w:t>
      </w:r>
    </w:p>
    <w:p>
      <w:r>
        <w:t>FAQ-0000</w:t>
      </w:r>
    </w:p>
    <w:p>
      <w:pPr>
        <w:pStyle w:val="Heading2"/>
      </w:pPr>
      <w:r>
        <w:rPr>
          <w:color w:val="4F81BD"/>
          <w:sz w:val="28"/>
        </w:rPr>
        <w:t>Categoria</w:t>
      </w:r>
    </w:p>
    <w:p>
      <w:r>
        <w:t>FAQ</w:t>
      </w:r>
    </w:p>
    <w:p>
      <w:pPr>
        <w:pStyle w:val="Heading2"/>
      </w:pPr>
      <w:r>
        <w:rPr>
          <w:color w:val="4F81BD"/>
          <w:sz w:val="28"/>
        </w:rPr>
        <w:t>Pergunta</w:t>
      </w:r>
    </w:p>
    <w:p>
      <w:r>
        <w:t>Pergunta escrita como uma dúvida real de atendimento do cliente brasileiro.</w:t>
      </w:r>
    </w:p>
    <w:p>
      <w:pPr>
        <w:pStyle w:val="Heading2"/>
      </w:pPr>
      <w:r>
        <w:rPr>
          <w:color w:val="4F81BD"/>
          <w:sz w:val="28"/>
        </w:rPr>
        <w:t>Consulta natural em japonês</w:t>
      </w:r>
    </w:p>
    <w:p>
      <w:pPr>
        <w:pStyle w:val="ListBullet"/>
      </w:pPr>
      <w:r>
        <w:t>Corretor japonês pesquisa no NotebookLM usando uma frase natural em japonês, sem romaji.</w:t>
      </w:r>
    </w:p>
    <w:p>
      <w:pPr>
        <w:pStyle w:val="Heading2"/>
      </w:pPr>
      <w:r>
        <w:rPr>
          <w:color w:val="4F81BD"/>
          <w:sz w:val="28"/>
        </w:rPr>
        <w:t>Resposta curta</w:t>
      </w:r>
    </w:p>
    <w:p>
      <w:r>
        <w:t>Resposta direta, simples e útil para atendimento rápido.</w:t>
      </w:r>
    </w:p>
    <w:p>
      <w:pPr>
        <w:pStyle w:val="Heading2"/>
      </w:pPr>
      <w:r>
        <w:rPr>
          <w:color w:val="4F81BD"/>
          <w:sz w:val="28"/>
        </w:rPr>
        <w:t>Resposta explicada</w:t>
      </w:r>
    </w:p>
    <w:p>
      <w:r>
        <w:t>Explicação completa em português brasileiro, com linguagem natural e sem tradução literal desnecessária.</w:t>
      </w:r>
    </w:p>
    <w:p>
      <w:pPr>
        <w:pStyle w:val="Heading2"/>
      </w:pPr>
      <w:r>
        <w:rPr>
          <w:color w:val="4F81BD"/>
          <w:sz w:val="28"/>
        </w:rPr>
        <w:t>Orientação ao corretor</w:t>
      </w:r>
    </w:p>
    <w:p>
      <w:r>
        <w:t>Como o corretor japonês deve conduzir a explicação, incluindo cuidados comerciais, culturais ou técnicos.</w:t>
      </w:r>
    </w:p>
    <w:p>
      <w:pPr>
        <w:pStyle w:val="Heading2"/>
      </w:pPr>
      <w:r>
        <w:rPr>
          <w:color w:val="4F81BD"/>
          <w:sz w:val="28"/>
        </w:rPr>
        <w:t>Próximo passo seguro</w:t>
      </w:r>
    </w:p>
    <w:p>
      <w:r>
        <w:t>Indicar a próxima ação prática: documento a confirmar, dado a coletar, explicação a reforçar ou consulta à seguradora.</w:t>
      </w:r>
    </w:p>
    <w:p>
      <w:pPr>
        <w:pStyle w:val="Heading2"/>
      </w:pPr>
      <w:r>
        <w:rPr>
          <w:color w:val="4F81BD"/>
          <w:sz w:val="28"/>
        </w:rPr>
        <w:t>Limite comercial/compliance</w:t>
      </w:r>
    </w:p>
    <w:p>
      <w:r>
        <w:t>Usar quando a FAQ tratar de aceitação, recusa, sinistro, pagamento, exclusão, imposto, culpa, declaração de saúde, prazo, beneficiário ou alteração contratual.</w:t>
      </w:r>
    </w:p>
    <w:p>
      <w:r>
        <w:t>Texto-base:</w:t>
      </w:r>
    </w:p>
    <w:p>
      <w:pPr>
        <w:pStyle w:val="NoSpacing"/>
      </w:pPr>
      <w:r>
        <w:rPr>
          <w:rFonts w:ascii="Courier New" w:hAnsi="Courier New"/>
          <w:sz w:val="18"/>
        </w:rPr>
        <w:t>Este material e apoio de atendimento. A decisao final sobre aceitacao, cobertura, valor, prazo, pagamento, recusa ou imposto depende dos documentos oficiais, das condicoes do contrato, da situacao concreta e da analise da seguradora ou autoridade competente.</w:t>
      </w:r>
    </w:p>
    <w:p>
      <w:pPr>
        <w:pStyle w:val="Heading2"/>
      </w:pPr>
      <w:r>
        <w:rPr>
          <w:color w:val="4F81BD"/>
          <w:sz w:val="28"/>
        </w:rPr>
        <w:t>Termos relacionados</w:t>
      </w:r>
    </w:p>
    <w:p>
      <w:pPr>
        <w:pStyle w:val="ListBullet"/>
      </w:pPr>
      <w:r>
        <w:t>CATEGORIA-0000 - Termo relacionado</w:t>
      </w:r>
    </w:p>
    <w:p>
      <w:pPr>
        <w:pStyle w:val="Heading2"/>
      </w:pPr>
      <w:r>
        <w:rPr>
          <w:color w:val="4F81BD"/>
          <w:sz w:val="28"/>
        </w:rPr>
        <w:t>Referências cruzadas</w:t>
      </w:r>
    </w:p>
    <w:p>
      <w:pPr>
        <w:pStyle w:val="ListBullet"/>
      </w:pPr>
      <w:r>
        <w:t>CATEGORIA-0000</w:t>
      </w:r>
    </w:p>
    <w:p>
      <w:pPr>
        <w:pStyle w:val="ListBullet"/>
      </w:pPr>
      <w:r>
        <w:t>DIALOGUE-0000</w:t>
      </w:r>
    </w:p>
    <w:p>
      <w:pPr>
        <w:pStyle w:val="ListBullet"/>
      </w:pPr>
      <w:r>
        <w:t>CASE-0000</w:t>
      </w:r>
    </w:p>
    <w:p>
      <w:pPr>
        <w:pStyle w:val="Heading2"/>
      </w:pPr>
      <w:r>
        <w:rPr>
          <w:color w:val="4F81BD"/>
          <w:sz w:val="28"/>
        </w:rPr>
        <w:t>Referências</w:t>
      </w:r>
    </w:p>
    <w:p>
      <w:pPr>
        <w:pStyle w:val="ListBullet"/>
      </w:pPr>
      <w:r>
        <w:t>Documento interno:</w:t>
      </w:r>
    </w:p>
    <w:p>
      <w:pPr>
        <w:pStyle w:val="ListBullet"/>
      </w:pPr>
      <w:r>
        <w:t>Fonte externa:</w:t>
      </w:r>
    </w:p>
    <w:p>
      <w:pPr>
        <w:pStyle w:val="Heading2"/>
      </w:pPr>
      <w:r>
        <w:rPr>
          <w:color w:val="4F81BD"/>
          <w:sz w:val="28"/>
        </w:rP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tag-1</w:t>
      </w:r>
    </w:p>
    <w:p>
      <w:pPr>
        <w:pStyle w:val="Heading2"/>
      </w:pPr>
      <w:r>
        <w:rPr>
          <w:color w:val="4F81BD"/>
          <w:sz w:val="28"/>
        </w:rPr>
        <w:t>Veja também</w:t>
      </w:r>
    </w:p>
    <w:p>
      <w:pPr>
        <w:pStyle w:val="ListBullet"/>
      </w:pPr>
      <w:r>
        <w:t>02_MasterDictionary/TERM_TEMPLATE.md</w:t>
      </w:r>
    </w:p>
    <w:p>
      <w:pPr>
        <w:pStyle w:val="ListBullet"/>
      </w:pPr>
      <w:r>
        <w:t>13_Dialogues/DIALOGUE_TEMPLATE.md</w:t>
      </w:r>
    </w:p>
    <w:p>
      <w:pPr>
        <w:pStyle w:val="ListBullet"/>
      </w:pPr>
      <w:r>
        <w:t>15_CaseStudies/CASE_TEMPLATE.md</w:t>
      </w:r>
    </w:p>
    <w:p>
      <w:pPr>
        <w:pStyle w:val="Heading2"/>
      </w:pPr>
      <w:r>
        <w:rPr>
          <w:color w:val="4F81BD"/>
          <w:sz w:val="28"/>
        </w:rP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AAAA-MM-DD | 0.1 |  | Criação inicial. |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