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ACC_DIALOGUES_0001_0002 - ACC対話例 0001-0002</w:t>
      </w:r>
    </w:p>
    <w:p>
      <w:pPr>
        <w:pStyle w:val="Heading2"/>
      </w:pPr>
      <w:r>
        <w:t>管理情報</w:t>
      </w:r>
    </w:p>
    <w:p>
      <w:pPr>
        <w:pStyle w:val="ListBullet"/>
      </w:pPr>
      <w:r>
        <w:t>Versão: 0.1</w:t>
      </w:r>
    </w:p>
    <w:p>
      <w:pPr>
        <w:pStyle w:val="ListBullet"/>
      </w:pPr>
      <w:r>
        <w:t>Data: 2026-06-29</w:t>
      </w:r>
    </w:p>
    <w:p>
      <w:pPr>
        <w:pStyle w:val="ListBullet"/>
      </w:pPr>
      <w:r>
        <w:t>Autor: JP-BR Insurance Knowledge Base</w:t>
      </w:r>
    </w:p>
    <w:p>
      <w:pPr>
        <w:pStyle w:val="ListBullet"/>
      </w:pPr>
      <w:r>
        <w:t>Histórico: Consolidação editorial do segundo lote ACC.</w:t>
      </w:r>
    </w:p>
    <w:p>
      <w:pPr>
        <w:pStyle w:val="Heading2"/>
      </w:pPr>
      <w:r>
        <w:t>統合コンテンツ</w:t>
      </w:r>
    </w:p>
    <w:p>
      <w:pPr>
        <w:pStyle w:val="Heading1"/>
      </w:pPr>
      <w:r>
        <w:t>DIALOGUE-ACC-0001 - 仕事中の事故と民間の傷害保険を分けて説明する</w:t>
      </w:r>
    </w:p>
    <w:p>
      <w:pPr>
        <w:pStyle w:val="Heading2"/>
      </w:pPr>
      <w:r>
        <w:t>管理情報</w:t>
      </w:r>
    </w:p>
    <w:p>
      <w:pPr>
        <w:pStyle w:val="ListBullet"/>
      </w:pPr>
      <w:r>
        <w:t>Versão: 0.1</w:t>
      </w:r>
    </w:p>
    <w:p>
      <w:pPr>
        <w:pStyle w:val="ListBullet"/>
      </w:pPr>
      <w:r>
        <w:t>Data: 2026-06-29</w:t>
      </w:r>
    </w:p>
    <w:p>
      <w:pPr>
        <w:pStyle w:val="ListBullet"/>
      </w:pPr>
      <w:r>
        <w:t>Autor: JP-BR Insurance Knowledge Base</w:t>
      </w:r>
    </w:p>
    <w:p>
      <w:pPr>
        <w:pStyle w:val="ListBullet"/>
      </w:pPr>
      <w:r>
        <w:t>Histórico: Criação inicial da categoria ACC em diálogos.</w:t>
      </w:r>
    </w:p>
    <w:p>
      <w:pPr>
        <w:pStyle w:val="Heading2"/>
      </w:pPr>
      <w:r>
        <w:t>コード</w:t>
      </w:r>
    </w:p>
    <w:p>
      <w:r>
        <w:t>DIALOGUE-ACC-0001</w:t>
      </w:r>
    </w:p>
    <w:p>
      <w:pPr>
        <w:pStyle w:val="Heading2"/>
      </w:pPr>
      <w:r>
        <w:t>対応場面</w:t>
      </w:r>
    </w:p>
    <w:p>
      <w:r>
        <w:t>ブラジル人顧客が仕事中にけがをし、労災保険と民間の傷害保険のどちらで対応するのかを確認する場面。</w:t>
      </w:r>
    </w:p>
    <w:p>
      <w:pPr>
        <w:pStyle w:val="Heading2"/>
      </w:pPr>
      <w:r>
        <w:t>参加者</w:t>
      </w:r>
    </w:p>
    <w:p>
      <w:pPr>
        <w:pStyle w:val="ListBullet"/>
      </w:pPr>
      <w:r>
        <w:t>募集人: 日本人保険募集人</w:t>
      </w:r>
    </w:p>
    <w:p>
      <w:pPr>
        <w:pStyle w:val="ListBullet"/>
      </w:pPr>
      <w:r>
        <w:t>顧客: 日本在住のブラジル人顧客</w:t>
      </w:r>
    </w:p>
    <w:p>
      <w:pPr>
        <w:pStyle w:val="Heading2"/>
      </w:pPr>
      <w:r>
        <w:t>対話の目的</w:t>
      </w:r>
    </w:p>
    <w:p>
      <w:r>
        <w:t>公的な労災保険、勤務先の手続き、民間の傷害保険を分け、支払可否を断定せずに必要情報を整理する。</w:t>
      </w:r>
    </w:p>
    <w:p>
      <w:pPr>
        <w:pStyle w:val="Heading2"/>
      </w:pPr>
      <w:r>
        <w:t>日本語版</w:t>
      </w:r>
    </w:p>
    <w:p>
      <w:r>
        <w:t>**顧客:** 仕事中にけがをしました。傷害保険で支払われますか。</w:t>
      </w:r>
    </w:p>
    <w:p>
      <w:r>
        <w:t>**募集人:** まず労災保険と民間の傷害保険を分けて確認します。勤務先への報告、事故内容、契約内容、必要書類を確認しましょう。</w:t>
      </w:r>
    </w:p>
    <w:p>
      <w:r>
        <w:t>**顧客:** すぐに支払われるか知りたいです。</w:t>
      </w:r>
    </w:p>
    <w:p>
      <w:r>
        <w:t>**募集人:** 支払可否や時期は断定できません。保険会社が契約条件、事故状況、提出書類を確認して判断します。</w:t>
      </w:r>
    </w:p>
    <w:p>
      <w:pPr>
        <w:pStyle w:val="Heading2"/>
      </w:pPr>
      <w:r>
        <w:t>ブラジルポルトガル語版</w:t>
      </w:r>
    </w:p>
    <w:p>
      <w:r>
        <w:t>**Cliente:** Eu me machuquei no trabalho. O seguro de acidentes paga?</w:t>
      </w:r>
    </w:p>
    <w:p>
      <w:r>
        <w:t>**Corretor:** Primeiro vamos separar o seguro de acidente de trabalho e o seguro privado de acidentes. Precisamos confirmar o aviso à empresa, a situação do acidente, o contrato e os documentos.</w:t>
      </w:r>
    </w:p>
    <w:p>
      <w:r>
        <w:t>**Cliente:** Quero saber se vou receber logo.</w:t>
      </w:r>
    </w:p>
    <w:p>
      <w:r>
        <w:t>**Corretor:** Eu não posso prometer pagamento nem prazo. A seguradora analisa o contrato, a situação do acidente e os documentos.</w:t>
      </w:r>
    </w:p>
    <w:p>
      <w:pPr>
        <w:pStyle w:val="Heading2"/>
      </w:pPr>
      <w:r>
        <w:t>ブラジルポルトガル語実用フレーズ</w:t>
      </w:r>
    </w:p>
    <w:p>
      <w:pPr>
        <w:pStyle w:val="Heading3"/>
      </w:pPr>
      <w:r>
        <w:t>ポルトガル語で伝える内容</w:t>
      </w:r>
    </w:p>
    <w:p>
      <w:r>
        <w:t>Primeiro vamos separar o seguro de acidente de trabalho e o seguro privado de acidentes.</w:t>
      </w:r>
    </w:p>
    <w:p>
      <w:pPr>
        <w:pStyle w:val="Heading3"/>
      </w:pPr>
      <w:r>
        <w:t>カタカナ読み</w:t>
      </w:r>
    </w:p>
    <w:p>
      <w:r>
        <w:t>プリメイロ ヴァモス セパラール オ セグーロ ジ アシデンチ ジ トラバーリョ イ オ セグーロ プリヴァード ジ アシデンチス</w:t>
      </w:r>
    </w:p>
    <w:p>
      <w:r>
        <w:t>日本語確認用: 労災保険と民間の傷害保険を分けて確認する。</w:t>
      </w:r>
    </w:p>
    <w:p>
      <w:pPr>
        <w:pStyle w:val="Heading3"/>
      </w:pPr>
      <w:r>
        <w:t>ポルトガル語で伝える内容</w:t>
      </w:r>
    </w:p>
    <w:p>
      <w:r>
        <w:t>Eu não posso prometer pagamento nem prazo antes da análise da seguradora.</w:t>
      </w:r>
    </w:p>
    <w:p>
      <w:pPr>
        <w:pStyle w:val="Heading3"/>
      </w:pPr>
      <w:r>
        <w:t>カタカナ読み</w:t>
      </w:r>
    </w:p>
    <w:p>
      <w:r>
        <w:t>エウ ナォン ポッソ プロメテール パガメント ネン プラゾ アンチス ダ アナリゼ ダ セグラドーラ</w:t>
      </w:r>
    </w:p>
    <w:p>
      <w:r>
        <w:t>日本語確認用: 保険会社の査定前に支払いや時期を約束しない。</w:t>
      </w:r>
    </w:p>
    <w:p>
      <w:pPr>
        <w:pStyle w:val="Heading2"/>
      </w:pPr>
      <w:r>
        <w:t>文化・営業上の注意</w:t>
      </w:r>
    </w:p>
    <w:p>
      <w:pPr>
        <w:pStyle w:val="ListBullet"/>
      </w:pPr>
      <w:r>
        <w:t>ブラジル人顧客は「仕事中の事故なら全部同じ保険」と理解している場合がある。</w:t>
      </w:r>
    </w:p>
    <w:p>
      <w:pPr>
        <w:pStyle w:val="ListBullet"/>
      </w:pPr>
      <w:r>
        <w:t>最初に制度を分けて説明し、責任や支払可否を断定しない。</w:t>
      </w:r>
    </w:p>
    <w:p>
      <w:pPr>
        <w:pStyle w:val="Heading2"/>
      </w:pPr>
      <w:r>
        <w:t>募集人の注意点</w:t>
      </w:r>
    </w:p>
    <w:p>
      <w:pPr>
        <w:pStyle w:val="ListBullet"/>
      </w:pPr>
      <w:r>
        <w:t>勤務先への報告状況を確認する。</w:t>
      </w:r>
    </w:p>
    <w:p>
      <w:pPr>
        <w:pStyle w:val="ListBullet"/>
      </w:pPr>
      <w:r>
        <w:t>労災保険、公的制度、民間保険を混同しない。</w:t>
      </w:r>
    </w:p>
    <w:p>
      <w:pPr>
        <w:pStyle w:val="ListBullet"/>
      </w:pPr>
      <w:r>
        <w:t>保険金支払い、時期、金額、労災該当性を断定しない。</w:t>
      </w:r>
    </w:p>
    <w:p>
      <w:pPr>
        <w:pStyle w:val="Heading2"/>
      </w:pPr>
      <w:r>
        <w:t>コンプライアンス上の注意</w:t>
      </w:r>
    </w:p>
    <w:p>
      <w:r>
        <w:t>この対話は受付と説明のための例であり、補償、支払可否、労災該当性、勤務先の判断、保険会社の査定結果を約束するものではない。</w:t>
      </w:r>
    </w:p>
    <w:p>
      <w:pPr>
        <w:pStyle w:val="Heading2"/>
      </w:pPr>
      <w:r>
        <w:t>関連用語</w:t>
      </w:r>
    </w:p>
    <w:p>
      <w:pPr>
        <w:pStyle w:val="ListBullet"/>
      </w:pPr>
      <w:r>
        <w:t>ACC-0001 - 傷害保険 - Seguro de acidentes pessoais</w:t>
      </w:r>
    </w:p>
    <w:p>
      <w:pPr>
        <w:pStyle w:val="ListBullet"/>
      </w:pPr>
      <w:r>
        <w:t>ACC-0002 - 労災保険 - Seguro de acidente de trabalho</w:t>
      </w:r>
    </w:p>
    <w:p>
      <w:pPr>
        <w:pStyle w:val="ListBullet"/>
      </w:pPr>
      <w:r>
        <w:t>ACC-0004 - 事故通知 - Aviso de acidente</w:t>
      </w:r>
    </w:p>
    <w:p>
      <w:pPr>
        <w:pStyle w:val="Heading2"/>
      </w:pPr>
      <w:r>
        <w:t>関連FAQ</w:t>
      </w:r>
    </w:p>
    <w:p>
      <w:pPr>
        <w:pStyle w:val="ListBullet"/>
      </w:pPr>
      <w:r>
        <w:t>FAQ-ACC-0001</w:t>
      </w:r>
    </w:p>
    <w:p>
      <w:pPr>
        <w:pStyle w:val="ListBullet"/>
      </w:pPr>
      <w:r>
        <w:t>FAQ-ACC-0006</w:t>
      </w:r>
    </w:p>
    <w:p>
      <w:pPr>
        <w:pStyle w:val="Heading2"/>
      </w:pPr>
      <w:r>
        <w:t>関連ケース</w:t>
      </w:r>
    </w:p>
    <w:p>
      <w:pPr>
        <w:pStyle w:val="ListBullet"/>
      </w:pPr>
      <w:r>
        <w:t>CASE-ACC-0001</w:t>
      </w:r>
    </w:p>
    <w:p>
      <w:pPr>
        <w:pStyle w:val="Heading2"/>
      </w:pPr>
      <w:r>
        <w:t>相互参照</w:t>
      </w:r>
    </w:p>
    <w:p>
      <w:pPr>
        <w:pStyle w:val="ListBullet"/>
      </w:pPr>
      <w:r>
        <w:t>ACC-0001</w:t>
      </w:r>
    </w:p>
    <w:p>
      <w:pPr>
        <w:pStyle w:val="ListBullet"/>
      </w:pPr>
      <w:r>
        <w:t>ACC-0002</w:t>
      </w:r>
    </w:p>
    <w:p>
      <w:pPr>
        <w:pStyle w:val="ListBullet"/>
      </w:pPr>
      <w:r>
        <w:t>ACC-0004</w:t>
      </w:r>
    </w:p>
    <w:p>
      <w:pPr>
        <w:pStyle w:val="ListBullet"/>
      </w:pPr>
      <w:r>
        <w:t>FAQ-ACC-0001</w:t>
      </w:r>
    </w:p>
    <w:p>
      <w:pPr>
        <w:pStyle w:val="ListBullet"/>
      </w:pPr>
      <w:r>
        <w:t>FAQ-ACC-0006</w:t>
      </w:r>
    </w:p>
    <w:p>
      <w:pPr>
        <w:pStyle w:val="ListBullet"/>
      </w:pPr>
      <w:r>
        <w:t>CASE-ACC-0001</w:t>
      </w:r>
    </w:p>
    <w:p>
      <w:pPr>
        <w:pStyle w:val="Heading2"/>
      </w:pPr>
      <w:r>
        <w:t>参考資料</w:t>
      </w:r>
    </w:p>
    <w:p>
      <w:pPr>
        <w:pStyle w:val="ListBullet"/>
      </w:pPr>
      <w:r>
        <w:t>Documento interno: `14_FAQ/ACC/FAQ-ACC-0001.md`</w:t>
      </w:r>
    </w:p>
    <w:p>
      <w:pPr>
        <w:pStyle w:val="Heading2"/>
      </w:pPr>
      <w:r>
        <w:t>タグ</w:t>
      </w:r>
    </w:p>
    <w:p>
      <w:pPr>
        <w:pStyle w:val="ListBullet"/>
      </w:pPr>
      <w:r>
        <w:t>dialogue</w:t>
      </w:r>
    </w:p>
    <w:p>
      <w:pPr>
        <w:pStyle w:val="ListBullet"/>
      </w:pPr>
      <w:r>
        <w:t>acc</w:t>
      </w:r>
    </w:p>
    <w:p>
      <w:pPr>
        <w:pStyle w:val="ListBullet"/>
      </w:pPr>
      <w:r>
        <w:t>trabalho</w:t>
      </w:r>
    </w:p>
    <w:p>
      <w:pPr>
        <w:pStyle w:val="ListBullet"/>
      </w:pPr>
      <w:r>
        <w:t>sinistro</w:t>
      </w:r>
    </w:p>
    <w:p>
      <w:pPr>
        <w:pStyle w:val="ListBullet"/>
      </w:pPr>
      <w:r>
        <w:t>compliance</w:t>
      </w:r>
    </w:p>
    <w:p>
      <w:pPr>
        <w:pStyle w:val="Heading2"/>
      </w:pPr>
      <w:r>
        <w:t>関連項目</w:t>
      </w:r>
    </w:p>
    <w:p>
      <w:pPr>
        <w:pStyle w:val="ListBullet"/>
      </w:pPr>
      <w:r>
        <w:t>`14_FAQ/ACC/FAQ-ACC-0001.md`</w:t>
      </w:r>
    </w:p>
    <w:p>
      <w:pPr>
        <w:pStyle w:val="ListBullet"/>
      </w:pPr>
      <w:r>
        <w:t>`15_CaseStudies/ACC/CASE-ACC-0001.md`</w:t>
      </w:r>
    </w:p>
    <w:p>
      <w:pPr>
        <w:pStyle w:val="Heading2"/>
      </w:pPr>
      <w:r>
        <w:t>改訂履歴</w:t>
      </w:r>
    </w:p>
    <w:p>
      <w:r>
        <w:t>| Data | Versão | Autor | Alteração |</w:t>
      </w:r>
    </w:p>
    <w:p>
      <w:r>
        <w:t>| --- | --- | --- | --- |</w:t>
      </w:r>
    </w:p>
    <w:p>
      <w:r>
        <w:t>| 2026-06-29 | 0.1 | JP-BR Insurance Knowledge Base | Criação inicial. |</w:t>
      </w:r>
    </w:p>
    <w:p>
      <w:pPr>
        <w:pStyle w:val="Heading1"/>
      </w:pPr>
      <w:r>
        <w:t>DIALOGUE-ACC-0002 - 免責日数と入院保険金を説明する</w:t>
      </w:r>
    </w:p>
    <w:p>
      <w:pPr>
        <w:pStyle w:val="Heading2"/>
      </w:pPr>
      <w:r>
        <w:t>管理情報</w:t>
      </w:r>
    </w:p>
    <w:p>
      <w:pPr>
        <w:pStyle w:val="ListBullet"/>
      </w:pPr>
      <w:r>
        <w:t>Versão: 0.1</w:t>
      </w:r>
    </w:p>
    <w:p>
      <w:pPr>
        <w:pStyle w:val="ListBullet"/>
      </w:pPr>
      <w:r>
        <w:t>Data: 2026-06-29</w:t>
      </w:r>
    </w:p>
    <w:p>
      <w:pPr>
        <w:pStyle w:val="ListBullet"/>
      </w:pPr>
      <w:r>
        <w:t>Autor: JP-BR Insurance Knowledge Base</w:t>
      </w:r>
    </w:p>
    <w:p>
      <w:pPr>
        <w:pStyle w:val="ListBullet"/>
      </w:pPr>
      <w:r>
        <w:t>Histórico: Criação inicial da categoria ACC em diálogos.</w:t>
      </w:r>
    </w:p>
    <w:p>
      <w:pPr>
        <w:pStyle w:val="Heading2"/>
      </w:pPr>
      <w:r>
        <w:t>コード</w:t>
      </w:r>
    </w:p>
    <w:p>
      <w:r>
        <w:t>DIALOGUE-ACC-0002</w:t>
      </w:r>
    </w:p>
    <w:p>
      <w:pPr>
        <w:pStyle w:val="Heading2"/>
      </w:pPr>
      <w:r>
        <w:t>対応場面</w:t>
      </w:r>
    </w:p>
    <w:p>
      <w:r>
        <w:t>ブラジル人顧客が事故で入院し、入院日数のうち何日分が支払われるかを確認する場面。</w:t>
      </w:r>
    </w:p>
    <w:p>
      <w:pPr>
        <w:pStyle w:val="Heading2"/>
      </w:pPr>
      <w:r>
        <w:t>参加者</w:t>
      </w:r>
    </w:p>
    <w:p>
      <w:pPr>
        <w:pStyle w:val="ListBullet"/>
      </w:pPr>
      <w:r>
        <w:t>募集人: 日本人保険募集人</w:t>
      </w:r>
    </w:p>
    <w:p>
      <w:pPr>
        <w:pStyle w:val="ListBullet"/>
      </w:pPr>
      <w:r>
        <w:t>顧客: 日本在住のブラジル人顧客</w:t>
      </w:r>
    </w:p>
    <w:p>
      <w:pPr>
        <w:pStyle w:val="Heading2"/>
      </w:pPr>
      <w:r>
        <w:t>対話の目的</w:t>
      </w:r>
    </w:p>
    <w:p>
      <w:r>
        <w:t>入院保険金と免責日数を分けて説明し、契約条件と保険会社の査定が必要であることを伝える。</w:t>
      </w:r>
    </w:p>
    <w:p>
      <w:pPr>
        <w:pStyle w:val="Heading2"/>
      </w:pPr>
      <w:r>
        <w:t>日本語版</w:t>
      </w:r>
    </w:p>
    <w:p>
      <w:r>
        <w:t>**顧客:** 事故で入院しました。全部の日数が支払われますか。</w:t>
      </w:r>
    </w:p>
    <w:p>
      <w:r>
        <w:t>**募集人:** 契約によって、入院保険金の条件や免責日数が異なります。まず証券と約款を確認しましょう。</w:t>
      </w:r>
    </w:p>
    <w:p>
      <w:r>
        <w:t>**顧客:** 免責日数とは何ですか。</w:t>
      </w:r>
    </w:p>
    <w:p>
      <w:r>
        <w:t>**募集人:** 最初の一定日数が支払対象外になる可能性がある期間です。何日分かは契約で確認します。</w:t>
      </w:r>
    </w:p>
    <w:p>
      <w:pPr>
        <w:pStyle w:val="Heading2"/>
      </w:pPr>
      <w:r>
        <w:t>ブラジルポルトガル語版</w:t>
      </w:r>
    </w:p>
    <w:p>
      <w:r>
        <w:t>**Cliente:** Fiquei internado por causa de um acidente. Todos os dias são pagos?</w:t>
      </w:r>
    </w:p>
    <w:p>
      <w:r>
        <w:t>**Corretor:** Depende do contrato. Vamos confirmar as condições do benefício por internação e se existe franquia em dias.</w:t>
      </w:r>
    </w:p>
    <w:p>
      <w:r>
        <w:t>**Cliente:** O que é franquia em dias?</w:t>
      </w:r>
    </w:p>
    <w:p>
      <w:r>
        <w:t>**Corretor:** É um período inicial que pode não ser pago. Precisamos confirmar no contrato quantos dias são considerados.</w:t>
      </w:r>
    </w:p>
    <w:p>
      <w:pPr>
        <w:pStyle w:val="Heading2"/>
      </w:pPr>
      <w:r>
        <w:t>ブラジルポルトガル語実用フレーズ</w:t>
      </w:r>
    </w:p>
    <w:p>
      <w:pPr>
        <w:pStyle w:val="Heading3"/>
      </w:pPr>
      <w:r>
        <w:t>ポルトガル語で伝える内容</w:t>
      </w:r>
    </w:p>
    <w:p>
      <w:r>
        <w:t>Vamos confirmar as condições do benefício por internação e se existe franquia em dias.</w:t>
      </w:r>
    </w:p>
    <w:p>
      <w:pPr>
        <w:pStyle w:val="Heading3"/>
      </w:pPr>
      <w:r>
        <w:t>カタカナ読み</w:t>
      </w:r>
    </w:p>
    <w:p>
      <w:r>
        <w:t>ヴァモス コンフィルマール アス コンジソインス ド ベネフィシオ ポル インテルナサォン イ セ エジスチ フランキア エン ジアス</w:t>
      </w:r>
    </w:p>
    <w:p>
      <w:r>
        <w:t>日本語確認用: 入院保険金の条件と免責日数の有無を確認する。</w:t>
      </w:r>
    </w:p>
    <w:p>
      <w:pPr>
        <w:pStyle w:val="Heading3"/>
      </w:pPr>
      <w:r>
        <w:t>ポルトガル語で伝える内容</w:t>
      </w:r>
    </w:p>
    <w:p>
      <w:r>
        <w:t>Franquia em dias é um período inicial que pode não ser pago.</w:t>
      </w:r>
    </w:p>
    <w:p>
      <w:pPr>
        <w:pStyle w:val="Heading3"/>
      </w:pPr>
      <w:r>
        <w:t>カタカナ読み</w:t>
      </w:r>
    </w:p>
    <w:p>
      <w:r>
        <w:t>フランキア エン ジアス エ ウン ペリオド イニシアウ キ ポジ ナォン セール パゴ</w:t>
      </w:r>
    </w:p>
    <w:p>
      <w:r>
        <w:t>日本語確認用: 免責日数は最初の一定期間が支払対象外となる可能性を示す。</w:t>
      </w:r>
    </w:p>
    <w:p>
      <w:pPr>
        <w:pStyle w:val="Heading2"/>
      </w:pPr>
      <w:r>
        <w:t>文化・営業上の注意</w:t>
      </w:r>
    </w:p>
    <w:p>
      <w:pPr>
        <w:pStyle w:val="ListBullet"/>
      </w:pPr>
      <w:r>
        <w:t>顧客は入院日数と支払日数が必ず同じだと考える場合がある。</w:t>
      </w:r>
    </w:p>
    <w:p>
      <w:pPr>
        <w:pStyle w:val="ListBullet"/>
      </w:pPr>
      <w:r>
        <w:t>金額や日数の断定を避け、契約確認に誘導する。</w:t>
      </w:r>
    </w:p>
    <w:p>
      <w:pPr>
        <w:pStyle w:val="Heading2"/>
      </w:pPr>
      <w:r>
        <w:t>募集人の注意点</w:t>
      </w:r>
    </w:p>
    <w:p>
      <w:pPr>
        <w:pStyle w:val="ListBullet"/>
      </w:pPr>
      <w:r>
        <w:t>入院開始日、退院日、事故日、給付条件、免責日数を分けて確認する。</w:t>
      </w:r>
    </w:p>
    <w:p>
      <w:pPr>
        <w:pStyle w:val="ListBullet"/>
      </w:pPr>
      <w:r>
        <w:t>契約条件と保険会社の査定前に支払日数を計算して断定しない。</w:t>
      </w:r>
    </w:p>
    <w:p>
      <w:pPr>
        <w:pStyle w:val="Heading2"/>
      </w:pPr>
      <w:r>
        <w:t>コンプライアンス上の注意</w:t>
      </w:r>
    </w:p>
    <w:p>
      <w:r>
        <w:t>この対話は説明例であり、支払日数、支払金額、支払可否を確定するものではない。最終判断は契約条件、提出書類、事故状況、保険会社の査定による。</w:t>
      </w:r>
    </w:p>
    <w:p>
      <w:pPr>
        <w:pStyle w:val="Heading2"/>
      </w:pPr>
      <w:r>
        <w:t>関連用語</w:t>
      </w:r>
    </w:p>
    <w:p>
      <w:pPr>
        <w:pStyle w:val="ListBullet"/>
      </w:pPr>
      <w:r>
        <w:t>ACC-0007 - 入院保険金 - Benefício por internação causada por acidente</w:t>
      </w:r>
    </w:p>
    <w:p>
      <w:pPr>
        <w:pStyle w:val="ListBullet"/>
      </w:pPr>
      <w:r>
        <w:t>ACC-0009 - 免責日数 - Franquia temporal em dias</w:t>
      </w:r>
    </w:p>
    <w:p>
      <w:pPr>
        <w:pStyle w:val="ListBullet"/>
      </w:pPr>
      <w:r>
        <w:t>ACC-0010 - 免責事由 - Exclusões contratuais</w:t>
      </w:r>
    </w:p>
    <w:p>
      <w:pPr>
        <w:pStyle w:val="Heading2"/>
      </w:pPr>
      <w:r>
        <w:t>関連FAQ</w:t>
      </w:r>
    </w:p>
    <w:p>
      <w:pPr>
        <w:pStyle w:val="ListBullet"/>
      </w:pPr>
      <w:r>
        <w:t>FAQ-ACC-0005</w:t>
      </w:r>
    </w:p>
    <w:p>
      <w:pPr>
        <w:pStyle w:val="ListBullet"/>
      </w:pPr>
      <w:r>
        <w:t>FAQ-ACC-0009</w:t>
      </w:r>
    </w:p>
    <w:p>
      <w:pPr>
        <w:pStyle w:val="Heading2"/>
      </w:pPr>
      <w:r>
        <w:t>関連ケース</w:t>
      </w:r>
    </w:p>
    <w:p>
      <w:pPr>
        <w:pStyle w:val="ListBullet"/>
      </w:pPr>
      <w:r>
        <w:t>CASE-ACC-0002</w:t>
      </w:r>
    </w:p>
    <w:p>
      <w:pPr>
        <w:pStyle w:val="Heading2"/>
      </w:pPr>
      <w:r>
        <w:t>相互参照</w:t>
      </w:r>
    </w:p>
    <w:p>
      <w:pPr>
        <w:pStyle w:val="ListBullet"/>
      </w:pPr>
      <w:r>
        <w:t>ACC-0007</w:t>
      </w:r>
    </w:p>
    <w:p>
      <w:pPr>
        <w:pStyle w:val="ListBullet"/>
      </w:pPr>
      <w:r>
        <w:t>ACC-0009</w:t>
      </w:r>
    </w:p>
    <w:p>
      <w:pPr>
        <w:pStyle w:val="ListBullet"/>
      </w:pPr>
      <w:r>
        <w:t>ACC-0010</w:t>
      </w:r>
    </w:p>
    <w:p>
      <w:pPr>
        <w:pStyle w:val="ListBullet"/>
      </w:pPr>
      <w:r>
        <w:t>FAQ-ACC-0005</w:t>
      </w:r>
    </w:p>
    <w:p>
      <w:pPr>
        <w:pStyle w:val="ListBullet"/>
      </w:pPr>
      <w:r>
        <w:t>FAQ-ACC-0009</w:t>
      </w:r>
    </w:p>
    <w:p>
      <w:pPr>
        <w:pStyle w:val="ListBullet"/>
      </w:pPr>
      <w:r>
        <w:t>CASE-ACC-0002</w:t>
      </w:r>
    </w:p>
    <w:p>
      <w:pPr>
        <w:pStyle w:val="Heading2"/>
      </w:pPr>
      <w:r>
        <w:t>参考資料</w:t>
      </w:r>
    </w:p>
    <w:p>
      <w:pPr>
        <w:pStyle w:val="ListBullet"/>
      </w:pPr>
      <w:r>
        <w:t>Documento interno: `14_FAQ/ACC/FAQ-ACC-0009.md`</w:t>
      </w:r>
    </w:p>
    <w:p>
      <w:pPr>
        <w:pStyle w:val="Heading2"/>
      </w:pPr>
      <w:r>
        <w:t>タグ</w:t>
      </w:r>
    </w:p>
    <w:p>
      <w:pPr>
        <w:pStyle w:val="ListBullet"/>
      </w:pPr>
      <w:r>
        <w:t>dialogue</w:t>
      </w:r>
    </w:p>
    <w:p>
      <w:pPr>
        <w:pStyle w:val="ListBullet"/>
      </w:pPr>
      <w:r>
        <w:t>acc</w:t>
      </w:r>
    </w:p>
    <w:p>
      <w:pPr>
        <w:pStyle w:val="ListBullet"/>
      </w:pPr>
      <w:r>
        <w:t>internacao</w:t>
      </w:r>
    </w:p>
    <w:p>
      <w:pPr>
        <w:pStyle w:val="ListBullet"/>
      </w:pPr>
      <w:r>
        <w:t>franquia</w:t>
      </w:r>
    </w:p>
    <w:p>
      <w:pPr>
        <w:pStyle w:val="ListBullet"/>
      </w:pPr>
      <w:r>
        <w:t>compliance</w:t>
      </w:r>
    </w:p>
    <w:p>
      <w:pPr>
        <w:pStyle w:val="Heading2"/>
      </w:pPr>
      <w:r>
        <w:t>関連項目</w:t>
      </w:r>
    </w:p>
    <w:p>
      <w:pPr>
        <w:pStyle w:val="ListBullet"/>
      </w:pPr>
      <w:r>
        <w:t>`14_FAQ/ACC/FAQ-ACC-0009.md`</w:t>
      </w:r>
    </w:p>
    <w:p>
      <w:pPr>
        <w:pStyle w:val="ListBullet"/>
      </w:pPr>
      <w:r>
        <w:t>`15_CaseStudies/ACC/CASE-ACC-0002.md`</w:t>
      </w:r>
    </w:p>
    <w:p>
      <w:pPr>
        <w:pStyle w:val="Heading2"/>
      </w:pPr>
      <w:r>
        <w:t>改訂履歴</w:t>
      </w:r>
    </w:p>
    <w:p>
      <w:r>
        <w:t>| Data | Versão | Autor | Alteração |</w:t>
      </w:r>
    </w:p>
    <w:p>
      <w:r>
        <w:t>| --- | --- | --- | --- |</w:t>
      </w:r>
    </w:p>
    <w:p>
      <w:r>
        <w:t>| 2026-06-29 | 0.1 | JP-BR Insurance Knowledge Base | Criação inicial.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