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VIDA_NOTEBOOKLM_PACK_0001 - Seguro de vida para atendimento de brasileiros</w:t>
      </w:r>
    </w:p>
    <w:p>
      <w:pPr>
        <w:pStyle w:val="Heading2"/>
      </w:pPr>
      <w:r>
        <w:t>Controle</w:t>
      </w:r>
    </w:p>
    <w:p>
      <w:pPr>
        <w:pStyle w:val="ListBullet"/>
      </w:pPr>
      <w:r>
        <w:t>Versao: 0.1</w:t>
      </w:r>
    </w:p>
    <w:p>
      <w:pPr>
        <w:pStyle w:val="ListBullet"/>
      </w:pPr>
      <w:r>
        <w:t>Data: 2026-06-26</w:t>
      </w:r>
    </w:p>
    <w:p>
      <w:pPr>
        <w:pStyle w:val="ListBullet"/>
      </w:pPr>
      <w:r>
        <w:t>Autor: JP-BR Insurance Knowledge Base</w:t>
      </w:r>
    </w:p>
    <w:p>
      <w:pPr>
        <w:pStyle w:val="ListBullet"/>
      </w:pPr>
      <w:r>
        <w:t>Historico: Criacao inicial.</w:t>
      </w:r>
    </w:p>
    <w:p>
      <w:pPr>
        <w:pStyle w:val="Heading2"/>
      </w:pPr>
      <w:r>
        <w:t>Título</w:t>
      </w:r>
    </w:p>
    <w:p>
      <w:r>
        <w:t>Seguro de vida no Japao para atendimento de clientes brasileiros</w:t>
      </w:r>
    </w:p>
    <w:p>
      <w:pPr>
        <w:pStyle w:val="Heading2"/>
      </w:pPr>
      <w:r>
        <w:t>Resumo</w:t>
      </w:r>
    </w:p>
    <w:p>
      <w:r>
        <w:t>Pacote de consulta para corretor japones explicar seguro de vida a cliente brasileiro residente no Japao. O foco e atendimento pratico: morte, beneficiario, valor segurado, declaracao de saude, analise de aceitacao, solicitacao de indenizacao, documentos, impostos e acompanhamento pos-venda.</w:t>
      </w:r>
    </w:p>
    <w:p>
      <w:pPr>
        <w:pStyle w:val="Heading2"/>
      </w:pPr>
      <w:r>
        <w:t>Palavras-chave</w:t>
      </w:r>
    </w:p>
    <w:p>
      <w:pPr>
        <w:pStyle w:val="ListBullet"/>
      </w:pPr>
      <w:r>
        <w:t>生命保険</w:t>
      </w:r>
    </w:p>
    <w:p>
      <w:pPr>
        <w:pStyle w:val="ListBullet"/>
      </w:pPr>
      <w:r>
        <w:t>死亡保険</w:t>
      </w:r>
    </w:p>
    <w:p>
      <w:pPr>
        <w:pStyle w:val="ListBullet"/>
      </w:pPr>
      <w:r>
        <w:t>定期保険</w:t>
      </w:r>
    </w:p>
    <w:p>
      <w:pPr>
        <w:pStyle w:val="ListBullet"/>
      </w:pPr>
      <w:r>
        <w:t>終身保険</w:t>
      </w:r>
    </w:p>
    <w:p>
      <w:pPr>
        <w:pStyle w:val="ListBullet"/>
      </w:pPr>
      <w:r>
        <w:t>保険契約者</w:t>
      </w:r>
    </w:p>
    <w:p>
      <w:pPr>
        <w:pStyle w:val="ListBullet"/>
      </w:pPr>
      <w:r>
        <w:t>被保険者</w:t>
      </w:r>
    </w:p>
    <w:p>
      <w:pPr>
        <w:pStyle w:val="ListBullet"/>
      </w:pPr>
      <w:r>
        <w:t>受取人</w:t>
      </w:r>
    </w:p>
    <w:p>
      <w:pPr>
        <w:pStyle w:val="ListBullet"/>
      </w:pPr>
      <w:r>
        <w:t>保険金</w:t>
      </w:r>
    </w:p>
    <w:p>
      <w:pPr>
        <w:pStyle w:val="ListBullet"/>
      </w:pPr>
      <w:r>
        <w:t>給付金</w:t>
      </w:r>
    </w:p>
    <w:p>
      <w:pPr>
        <w:pStyle w:val="ListBullet"/>
      </w:pPr>
      <w:r>
        <w:t>告知義務</w:t>
      </w:r>
    </w:p>
    <w:p>
      <w:pPr>
        <w:pStyle w:val="ListBullet"/>
      </w:pPr>
      <w:r>
        <w:t>引受審査</w:t>
      </w:r>
    </w:p>
    <w:p>
      <w:pPr>
        <w:pStyle w:val="ListBullet"/>
      </w:pPr>
      <w:r>
        <w:t>保険金請求</w:t>
      </w:r>
    </w:p>
    <w:p>
      <w:pPr>
        <w:pStyle w:val="ListBullet"/>
      </w:pPr>
      <w:r>
        <w:t>死亡診断書</w:t>
      </w:r>
    </w:p>
    <w:p>
      <w:pPr>
        <w:pStyle w:val="ListBullet"/>
      </w:pPr>
      <w:r>
        <w:t>支払査定</w:t>
      </w:r>
    </w:p>
    <w:p>
      <w:pPr>
        <w:pStyle w:val="ListBullet"/>
      </w:pPr>
      <w:r>
        <w:t>受取人変更</w:t>
      </w:r>
    </w:p>
    <w:p>
      <w:pPr>
        <w:pStyle w:val="ListBullet"/>
      </w:pPr>
      <w:r>
        <w:t>seguro de vida</w:t>
      </w:r>
    </w:p>
    <w:p>
      <w:pPr>
        <w:pStyle w:val="ListBullet"/>
      </w:pPr>
      <w:r>
        <w:t>beneficiario</w:t>
      </w:r>
    </w:p>
    <w:p>
      <w:pPr>
        <w:pStyle w:val="ListBullet"/>
      </w:pPr>
      <w:r>
        <w:t>indenizacao</w:t>
      </w:r>
    </w:p>
    <w:p>
      <w:pPr>
        <w:pStyle w:val="ListBullet"/>
      </w:pPr>
      <w:r>
        <w:t>declaracao de saude</w:t>
      </w:r>
    </w:p>
    <w:p>
      <w:pPr>
        <w:pStyle w:val="ListBullet"/>
      </w:pPr>
      <w:r>
        <w:t>analise de aceitacao</w:t>
      </w:r>
    </w:p>
    <w:p>
      <w:pPr>
        <w:pStyle w:val="ListBullet"/>
      </w:pPr>
      <w:r>
        <w:t>solicitacao de indenizacao</w:t>
      </w:r>
    </w:p>
    <w:p>
      <w:pPr>
        <w:pStyle w:val="ListBullet"/>
      </w:pPr>
      <w:r>
        <w:t>cliente brasileiro</w:t>
      </w:r>
    </w:p>
    <w:p>
      <w:pPr>
        <w:pStyle w:val="Heading2"/>
      </w:pPr>
      <w:r>
        <w:t>Categorias</w:t>
      </w:r>
    </w:p>
    <w:p>
      <w:pPr>
        <w:pStyle w:val="ListBullet"/>
      </w:pPr>
      <w:r>
        <w:t>VIDA</w:t>
      </w:r>
    </w:p>
    <w:p>
      <w:pPr>
        <w:pStyle w:val="ListBullet"/>
      </w:pPr>
      <w:r>
        <w:t>NotebookLM</w:t>
      </w:r>
    </w:p>
    <w:p>
      <w:pPr>
        <w:pStyle w:val="ListBullet"/>
      </w:pPr>
      <w:r>
        <w:t>Atendimento</w:t>
      </w:r>
    </w:p>
    <w:p>
      <w:pPr>
        <w:pStyle w:val="ListBullet"/>
      </w:pPr>
      <w:r>
        <w:t>Dialogo</w:t>
      </w:r>
    </w:p>
    <w:p>
      <w:pPr>
        <w:pStyle w:val="ListBullet"/>
      </w:pPr>
      <w:r>
        <w:t>FAQ</w:t>
      </w:r>
    </w:p>
    <w:p>
      <w:pPr>
        <w:pStyle w:val="ListBullet"/>
      </w:pPr>
      <w:r>
        <w:t>Case</w:t>
      </w:r>
    </w:p>
    <w:p>
      <w:pPr>
        <w:pStyle w:val="Heading2"/>
      </w:pPr>
      <w:r>
        <w:t>Conteúdo</w:t>
      </w:r>
    </w:p>
    <w:p>
      <w:pPr>
        <w:pStyle w:val="Heading3"/>
      </w:pPr>
      <w:r>
        <w:t>Como o corretor japones pode perguntar ao NotebookLM</w:t>
      </w:r>
    </w:p>
    <w:p>
      <w:pPr>
        <w:pStyle w:val="ListBullet"/>
      </w:pPr>
      <w:r>
        <w:t>ブラジル人のお客様に生命保険をポルトガル語でどう説明すればよいですか。</w:t>
      </w:r>
    </w:p>
    <w:p>
      <w:pPr>
        <w:pStyle w:val="ListBullet"/>
      </w:pPr>
      <w:r>
        <w:t>死亡保険と医療保険の違いをブラジル人に説明したいです。</w:t>
      </w:r>
    </w:p>
    <w:p>
      <w:pPr>
        <w:pStyle w:val="ListBullet"/>
      </w:pPr>
      <w:r>
        <w:t>受取人を指定する重要性をポルトガル語で説明してください。</w:t>
      </w:r>
    </w:p>
    <w:p>
      <w:pPr>
        <w:pStyle w:val="ListBullet"/>
      </w:pPr>
      <w:r>
        <w:t>告知義務について、やさしいポルトガル語で注意点を伝えたいです。</w:t>
      </w:r>
    </w:p>
    <w:p>
      <w:pPr>
        <w:pStyle w:val="ListBullet"/>
      </w:pPr>
      <w:r>
        <w:t>引受審査で条件がついた場合の説明例を教えてください。</w:t>
      </w:r>
    </w:p>
    <w:p>
      <w:pPr>
        <w:pStyle w:val="ListBullet"/>
      </w:pPr>
      <w:r>
        <w:t>保険金請求に必要な書類をブラジル人に案内したいです。</w:t>
      </w:r>
    </w:p>
    <w:p>
      <w:pPr>
        <w:pStyle w:val="ListBullet"/>
      </w:pPr>
      <w:r>
        <w:t>保険金の税金について、約束しすぎない説明をしてください。</w:t>
      </w:r>
    </w:p>
    <w:p>
      <w:pPr>
        <w:pStyle w:val="ListBullet"/>
      </w:pPr>
      <w:r>
        <w:t>契約後の見直しや受取人変更を案内したいです。</w:t>
      </w:r>
    </w:p>
    <w:p>
      <w:pPr>
        <w:pStyle w:val="Heading3"/>
      </w:pPr>
      <w:r>
        <w:t>Explicacao-base em portugues brasileiro</w:t>
      </w:r>
    </w:p>
    <w:p>
      <w:r>
        <w:t>Seguro de vida no Japao e um contrato para proteger financeiramente familia, beneficiario ou o proprio segurado em situacoes previstas, como morte, invalidez grave, doenca, incapacidade ou outros eventos contratados.</w:t>
      </w:r>
    </w:p>
    <w:p>
      <w:r>
        <w:t>Ele deve ser explicado com cuidado porque envolve beneficiario, declaracao de saude, valor segurado, impostos, documentos e decisao formal da seguradora.</w:t>
      </w:r>
    </w:p>
    <w:p>
      <w:pPr>
        <w:pStyle w:val="Heading3"/>
      </w:pPr>
      <w:r>
        <w:t>Frases prontas para atendimento</w:t>
      </w:r>
    </w:p>
    <w:p>
      <w:pPr>
        <w:pStyle w:val="ListBullet"/>
      </w:pPr>
      <w:r>
        <w:t>"Seguro de vida serve para proteger financeiramente sua familia ou beneficiario se acontecer algo previsto no contrato."</w:t>
      </w:r>
    </w:p>
    <w:p>
      <w:pPr>
        <w:pStyle w:val="ListBullet"/>
      </w:pPr>
      <w:r>
        <w:t>"Beneficiario e a pessoa indicada para receber o valor do seguro."</w:t>
      </w:r>
    </w:p>
    <w:p>
      <w:pPr>
        <w:pStyle w:val="ListBullet"/>
      </w:pPr>
      <w:r>
        <w:t>"O valor necessario depende da sua familia, renda, despesas e objetivo de protecao."</w:t>
      </w:r>
    </w:p>
    <w:p>
      <w:pPr>
        <w:pStyle w:val="ListBullet"/>
      </w:pPr>
      <w:r>
        <w:t>"A declaracao de saude precisa ser respondida corretamente."</w:t>
      </w:r>
    </w:p>
    <w:p>
      <w:pPr>
        <w:pStyle w:val="ListBullet"/>
      </w:pPr>
      <w:r>
        <w:t>"A seguradora pode aceitar, recusar ou aceitar com condicao."</w:t>
      </w:r>
    </w:p>
    <w:p>
      <w:pPr>
        <w:pStyle w:val="ListBullet"/>
      </w:pPr>
      <w:r>
        <w:t>"No pedido de indenizacao, a seguradora analisa documentos e fatos antes do pagamento."</w:t>
      </w:r>
    </w:p>
    <w:p>
      <w:pPr>
        <w:pStyle w:val="ListBullet"/>
      </w:pPr>
      <w:r>
        <w:t>"Sobre imposto, precisamos verificar o caso concreto e a regra aplicavel."</w:t>
      </w:r>
    </w:p>
    <w:p>
      <w:pPr>
        <w:pStyle w:val="ListBullet"/>
      </w:pPr>
      <w:r>
        <w:t>"Depois de mudanca familiar, casamento, nascimento ou separacao, e importante revisar o contrato."</w:t>
      </w:r>
    </w:p>
    <w:p>
      <w:pPr>
        <w:pStyle w:val="Heading3"/>
      </w:pPr>
      <w:r>
        <w:t>Termos centrais para explicar ao cliente brasileiro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Termo japones</w:t>
            </w:r>
          </w:p>
        </w:tc>
        <w:tc>
          <w:tcPr>
            <w:tcW w:type="dxa" w:w="2448"/>
          </w:tcPr>
          <w:p>
            <w:r>
              <w:t>Codigo</w:t>
            </w:r>
          </w:p>
        </w:tc>
        <w:tc>
          <w:tcPr>
            <w:tcW w:type="dxa" w:w="2448"/>
          </w:tcPr>
          <w:p>
            <w:r>
              <w:t>Explicacao em portugues simples</w:t>
            </w:r>
          </w:p>
        </w:tc>
        <w:tc>
          <w:tcPr>
            <w:tcW w:type="dxa" w:w="2448"/>
          </w:tcPr>
          <w:p>
            <w:r>
              <w:t>Alerta para o corretor</w:t>
            </w:r>
          </w:p>
        </w:tc>
      </w:tr>
      <w:tr>
        <w:tc>
          <w:tcPr>
            <w:tcW w:type="dxa" w:w="2448"/>
          </w:tcPr>
          <w:p>
            <w:r>
              <w:t>生命保険</w:t>
            </w:r>
          </w:p>
        </w:tc>
        <w:tc>
          <w:tcPr>
            <w:tcW w:type="dxa" w:w="2448"/>
          </w:tcPr>
          <w:p>
            <w:r>
              <w:t>VIDA-0001</w:t>
            </w:r>
          </w:p>
        </w:tc>
        <w:tc>
          <w:tcPr>
            <w:tcW w:type="dxa" w:w="2448"/>
          </w:tcPr>
          <w:p>
            <w:r>
              <w:t>Seguro de vida.</w:t>
            </w:r>
          </w:p>
        </w:tc>
        <w:tc>
          <w:tcPr>
            <w:tcW w:type="dxa" w:w="2448"/>
          </w:tcPr>
          <w:p>
            <w:r>
              <w:t>Explicar objetivo de protecao, nao apenas produto.</w:t>
            </w:r>
          </w:p>
        </w:tc>
      </w:tr>
      <w:tr>
        <w:tc>
          <w:tcPr>
            <w:tcW w:type="dxa" w:w="2448"/>
          </w:tcPr>
          <w:p>
            <w:r>
              <w:t>死亡保険</w:t>
            </w:r>
          </w:p>
        </w:tc>
        <w:tc>
          <w:tcPr>
            <w:tcW w:type="dxa" w:w="2448"/>
          </w:tcPr>
          <w:p>
            <w:r>
              <w:t>VIDA-0002</w:t>
            </w:r>
          </w:p>
        </w:tc>
        <w:tc>
          <w:tcPr>
            <w:tcW w:type="dxa" w:w="2448"/>
          </w:tcPr>
          <w:p>
            <w:r>
              <w:t>Seguro que paga em caso de morte coberta.</w:t>
            </w:r>
          </w:p>
        </w:tc>
        <w:tc>
          <w:tcPr>
            <w:tcW w:type="dxa" w:w="2448"/>
          </w:tcPr>
          <w:p>
            <w:r>
              <w:t>Confirmar beneficiario e condicoes.</w:t>
            </w:r>
          </w:p>
        </w:tc>
      </w:tr>
      <w:tr>
        <w:tc>
          <w:tcPr>
            <w:tcW w:type="dxa" w:w="2448"/>
          </w:tcPr>
          <w:p>
            <w:r>
              <w:t>定期保険</w:t>
            </w:r>
          </w:p>
        </w:tc>
        <w:tc>
          <w:tcPr>
            <w:tcW w:type="dxa" w:w="2448"/>
          </w:tcPr>
          <w:p>
            <w:r>
              <w:t>VIDA-0003</w:t>
            </w:r>
          </w:p>
        </w:tc>
        <w:tc>
          <w:tcPr>
            <w:tcW w:type="dxa" w:w="2448"/>
          </w:tcPr>
          <w:p>
            <w:r>
              <w:t>Seguro por prazo determinado.</w:t>
            </w:r>
          </w:p>
        </w:tc>
        <w:tc>
          <w:tcPr>
            <w:tcW w:type="dxa" w:w="2448"/>
          </w:tcPr>
          <w:p>
            <w:r>
              <w:t>Cliente pode confundir com vitalicio.</w:t>
            </w:r>
          </w:p>
        </w:tc>
      </w:tr>
      <w:tr>
        <w:tc>
          <w:tcPr>
            <w:tcW w:type="dxa" w:w="2448"/>
          </w:tcPr>
          <w:p>
            <w:r>
              <w:t>終身保険</w:t>
            </w:r>
          </w:p>
        </w:tc>
        <w:tc>
          <w:tcPr>
            <w:tcW w:type="dxa" w:w="2448"/>
          </w:tcPr>
          <w:p>
            <w:r>
              <w:t>VIDA-0004</w:t>
            </w:r>
          </w:p>
        </w:tc>
        <w:tc>
          <w:tcPr>
            <w:tcW w:type="dxa" w:w="2448"/>
          </w:tcPr>
          <w:p>
            <w:r>
              <w:t>Seguro vitalicio.</w:t>
            </w:r>
          </w:p>
        </w:tc>
        <w:tc>
          <w:tcPr>
            <w:tcW w:type="dxa" w:w="2448"/>
          </w:tcPr>
          <w:p>
            <w:r>
              <w:t>Explicar premio, prazo e objetivo.</w:t>
            </w:r>
          </w:p>
        </w:tc>
      </w:tr>
      <w:tr>
        <w:tc>
          <w:tcPr>
            <w:tcW w:type="dxa" w:w="2448"/>
          </w:tcPr>
          <w:p>
            <w:r>
              <w:t>保険契約者</w:t>
            </w:r>
          </w:p>
        </w:tc>
        <w:tc>
          <w:tcPr>
            <w:tcW w:type="dxa" w:w="2448"/>
          </w:tcPr>
          <w:p>
            <w:r>
              <w:t>VIDA-0009</w:t>
            </w:r>
          </w:p>
        </w:tc>
        <w:tc>
          <w:tcPr>
            <w:tcW w:type="dxa" w:w="2448"/>
          </w:tcPr>
          <w:p>
            <w:r>
              <w:t>Contratante do seguro de vida.</w:t>
            </w:r>
          </w:p>
        </w:tc>
        <w:tc>
          <w:tcPr>
            <w:tcW w:type="dxa" w:w="2448"/>
          </w:tcPr>
          <w:p>
            <w:r>
              <w:t>Pode ser diferente do segurado.</w:t>
            </w:r>
          </w:p>
        </w:tc>
      </w:tr>
      <w:tr>
        <w:tc>
          <w:tcPr>
            <w:tcW w:type="dxa" w:w="2448"/>
          </w:tcPr>
          <w:p>
            <w:r>
              <w:t>被保険者</w:t>
            </w:r>
          </w:p>
        </w:tc>
        <w:tc>
          <w:tcPr>
            <w:tcW w:type="dxa" w:w="2448"/>
          </w:tcPr>
          <w:p>
            <w:r>
              <w:t>VIDA-0010</w:t>
            </w:r>
          </w:p>
        </w:tc>
        <w:tc>
          <w:tcPr>
            <w:tcW w:type="dxa" w:w="2448"/>
          </w:tcPr>
          <w:p>
            <w:r>
              <w:t>Pessoa segurada.</w:t>
            </w:r>
          </w:p>
        </w:tc>
        <w:tc>
          <w:tcPr>
            <w:tcW w:type="dxa" w:w="2448"/>
          </w:tcPr>
          <w:p>
            <w:r>
              <w:t>A vida/saude dela e base da cobertura.</w:t>
            </w:r>
          </w:p>
        </w:tc>
      </w:tr>
      <w:tr>
        <w:tc>
          <w:tcPr>
            <w:tcW w:type="dxa" w:w="2448"/>
          </w:tcPr>
          <w:p>
            <w:r>
              <w:t>受取人</w:t>
            </w:r>
          </w:p>
        </w:tc>
        <w:tc>
          <w:tcPr>
            <w:tcW w:type="dxa" w:w="2448"/>
          </w:tcPr>
          <w:p>
            <w:r>
              <w:t>VIDA-0011</w:t>
            </w:r>
          </w:p>
        </w:tc>
        <w:tc>
          <w:tcPr>
            <w:tcW w:type="dxa" w:w="2448"/>
          </w:tcPr>
          <w:p>
            <w:r>
              <w:t>Beneficiario.</w:t>
            </w:r>
          </w:p>
        </w:tc>
        <w:tc>
          <w:tcPr>
            <w:tcW w:type="dxa" w:w="2448"/>
          </w:tcPr>
          <w:p>
            <w:r>
              <w:t>Dado sensivel; revisar em eventos familiares.</w:t>
            </w:r>
          </w:p>
        </w:tc>
      </w:tr>
      <w:tr>
        <w:tc>
          <w:tcPr>
            <w:tcW w:type="dxa" w:w="2448"/>
          </w:tcPr>
          <w:p>
            <w:r>
              <w:t>保険金</w:t>
            </w:r>
          </w:p>
        </w:tc>
        <w:tc>
          <w:tcPr>
            <w:tcW w:type="dxa" w:w="2448"/>
          </w:tcPr>
          <w:p>
            <w:r>
              <w:t>VIDA-0012</w:t>
            </w:r>
          </w:p>
        </w:tc>
        <w:tc>
          <w:tcPr>
            <w:tcW w:type="dxa" w:w="2448"/>
          </w:tcPr>
          <w:p>
            <w:r>
              <w:t>Indenizacao do seguro de vida.</w:t>
            </w:r>
          </w:p>
        </w:tc>
        <w:tc>
          <w:tcPr>
            <w:tcW w:type="dxa" w:w="2448"/>
          </w:tcPr>
          <w:p>
            <w:r>
              <w:t>Pagamento depende de contrato e analise.</w:t>
            </w:r>
          </w:p>
        </w:tc>
      </w:tr>
      <w:tr>
        <w:tc>
          <w:tcPr>
            <w:tcW w:type="dxa" w:w="2448"/>
          </w:tcPr>
          <w:p>
            <w:r>
              <w:t>告知義務</w:t>
            </w:r>
          </w:p>
        </w:tc>
        <w:tc>
          <w:tcPr>
            <w:tcW w:type="dxa" w:w="2448"/>
          </w:tcPr>
          <w:p>
            <w:r>
              <w:t>VIDA-0018</w:t>
            </w:r>
          </w:p>
        </w:tc>
        <w:tc>
          <w:tcPr>
            <w:tcW w:type="dxa" w:w="2448"/>
          </w:tcPr>
          <w:p>
            <w:r>
              <w:t>Obrigacao de declarar saude corretamente.</w:t>
            </w:r>
          </w:p>
        </w:tc>
        <w:tc>
          <w:tcPr>
            <w:tcW w:type="dxa" w:w="2448"/>
          </w:tcPr>
          <w:p>
            <w:r>
              <w:t>Nao minimizar risco de declaracao incorreta.</w:t>
            </w:r>
          </w:p>
        </w:tc>
      </w:tr>
      <w:tr>
        <w:tc>
          <w:tcPr>
            <w:tcW w:type="dxa" w:w="2448"/>
          </w:tcPr>
          <w:p>
            <w:r>
              <w:t>引受審査</w:t>
            </w:r>
          </w:p>
        </w:tc>
        <w:tc>
          <w:tcPr>
            <w:tcW w:type="dxa" w:w="2448"/>
          </w:tcPr>
          <w:p>
            <w:r>
              <w:t>VIDA-0049</w:t>
            </w:r>
          </w:p>
        </w:tc>
        <w:tc>
          <w:tcPr>
            <w:tcW w:type="dxa" w:w="2448"/>
          </w:tcPr>
          <w:p>
            <w:r>
              <w:t>Analise de aceitacao.</w:t>
            </w:r>
          </w:p>
        </w:tc>
        <w:tc>
          <w:tcPr>
            <w:tcW w:type="dxa" w:w="2448"/>
          </w:tcPr>
          <w:p>
            <w:r>
              <w:t>Seguradora decide condicoes de entrada.</w:t>
            </w:r>
          </w:p>
        </w:tc>
      </w:tr>
      <w:tr>
        <w:tc>
          <w:tcPr>
            <w:tcW w:type="dxa" w:w="2448"/>
          </w:tcPr>
          <w:p>
            <w:r>
              <w:t>保険金請求</w:t>
            </w:r>
          </w:p>
        </w:tc>
        <w:tc>
          <w:tcPr>
            <w:tcW w:type="dxa" w:w="2448"/>
          </w:tcPr>
          <w:p>
            <w:r>
              <w:t>VIDA-0061</w:t>
            </w:r>
          </w:p>
        </w:tc>
        <w:tc>
          <w:tcPr>
            <w:tcW w:type="dxa" w:w="2448"/>
          </w:tcPr>
          <w:p>
            <w:r>
              <w:t>Solicitacao de indenizacao.</w:t>
            </w:r>
          </w:p>
        </w:tc>
        <w:tc>
          <w:tcPr>
            <w:tcW w:type="dxa" w:w="2448"/>
          </w:tcPr>
          <w:p>
            <w:r>
              <w:t>Exige documentos e analise.</w:t>
            </w:r>
          </w:p>
        </w:tc>
      </w:tr>
      <w:tr>
        <w:tc>
          <w:tcPr>
            <w:tcW w:type="dxa" w:w="2448"/>
          </w:tcPr>
          <w:p>
            <w:r>
              <w:t>支払査定</w:t>
            </w:r>
          </w:p>
        </w:tc>
        <w:tc>
          <w:tcPr>
            <w:tcW w:type="dxa" w:w="2448"/>
          </w:tcPr>
          <w:p>
            <w:r>
              <w:t>VIDA-0070</w:t>
            </w:r>
          </w:p>
        </w:tc>
        <w:tc>
          <w:tcPr>
            <w:tcW w:type="dxa" w:w="2448"/>
          </w:tcPr>
          <w:p>
            <w:r>
              <w:t>Analise de pagamento.</w:t>
            </w:r>
          </w:p>
        </w:tc>
        <w:tc>
          <w:tcPr>
            <w:tcW w:type="dxa" w:w="2448"/>
          </w:tcPr>
          <w:p>
            <w:r>
              <w:t>Corretor nao decide pagamento.</w:t>
            </w:r>
          </w:p>
        </w:tc>
      </w:tr>
    </w:tbl>
    <w:p/>
    <w:p>
      <w:pPr>
        <w:pStyle w:val="Heading3"/>
      </w:pPr>
      <w:r>
        <w:t>Diferenca entre contratante, segurado e beneficiario</w:t>
      </w:r>
    </w:p>
    <w:tbl>
      <w:tblPr>
        <w:tblStyle w:val="TableGrid"/>
        <w:tblW w:type="auto" w:w="0"/>
        <w:tblLook w:firstColumn="1" w:firstRow="1" w:lastColumn="0" w:lastRow="0" w:noHBand="0" w:noVBand="1" w:val="04A0"/>
      </w:tblPr>
      <w:tblGrid>
        <w:gridCol w:w="3264"/>
        <w:gridCol w:w="3264"/>
        <w:gridCol w:w="3264"/>
      </w:tblGrid>
      <w:tr>
        <w:tc>
          <w:tcPr>
            <w:tcW w:type="dxa" w:w="3264"/>
          </w:tcPr>
          <w:p>
            <w:r>
              <w:t>Papel</w:t>
            </w:r>
          </w:p>
        </w:tc>
        <w:tc>
          <w:tcPr>
            <w:tcW w:type="dxa" w:w="3264"/>
          </w:tcPr>
          <w:p>
            <w:r>
              <w:t>Japones</w:t>
            </w:r>
          </w:p>
        </w:tc>
        <w:tc>
          <w:tcPr>
            <w:tcW w:type="dxa" w:w="3264"/>
          </w:tcPr>
          <w:p>
            <w:r>
              <w:t>Como explicar</w:t>
            </w:r>
          </w:p>
        </w:tc>
      </w:tr>
      <w:tr>
        <w:tc>
          <w:tcPr>
            <w:tcW w:type="dxa" w:w="3264"/>
          </w:tcPr>
          <w:p>
            <w:r>
              <w:t>Contratante</w:t>
            </w:r>
          </w:p>
        </w:tc>
        <w:tc>
          <w:tcPr>
            <w:tcW w:type="dxa" w:w="3264"/>
          </w:tcPr>
          <w:p>
            <w:r>
              <w:t>保険契約者</w:t>
            </w:r>
          </w:p>
        </w:tc>
        <w:tc>
          <w:tcPr>
            <w:tcW w:type="dxa" w:w="3264"/>
          </w:tcPr>
          <w:p>
            <w:r>
              <w:t>"E quem contrata e assume obrigacoes do contrato."</w:t>
            </w:r>
          </w:p>
        </w:tc>
      </w:tr>
      <w:tr>
        <w:tc>
          <w:tcPr>
            <w:tcW w:type="dxa" w:w="3264"/>
          </w:tcPr>
          <w:p>
            <w:r>
              <w:t>Segurado</w:t>
            </w:r>
          </w:p>
        </w:tc>
        <w:tc>
          <w:tcPr>
            <w:tcW w:type="dxa" w:w="3264"/>
          </w:tcPr>
          <w:p>
            <w:r>
              <w:t>被保険者</w:t>
            </w:r>
          </w:p>
        </w:tc>
        <w:tc>
          <w:tcPr>
            <w:tcW w:type="dxa" w:w="3264"/>
          </w:tcPr>
          <w:p>
            <w:r>
              <w:t>"E a pessoa protegida pelo seguro."</w:t>
            </w:r>
          </w:p>
        </w:tc>
      </w:tr>
      <w:tr>
        <w:tc>
          <w:tcPr>
            <w:tcW w:type="dxa" w:w="3264"/>
          </w:tcPr>
          <w:p>
            <w:r>
              <w:t>Beneficiario</w:t>
            </w:r>
          </w:p>
        </w:tc>
        <w:tc>
          <w:tcPr>
            <w:tcW w:type="dxa" w:w="3264"/>
          </w:tcPr>
          <w:p>
            <w:r>
              <w:t>受取人</w:t>
            </w:r>
          </w:p>
        </w:tc>
        <w:tc>
          <w:tcPr>
            <w:tcW w:type="dxa" w:w="3264"/>
          </w:tcPr>
          <w:p>
            <w:r>
              <w:t>"E quem recebe o valor se acontecer o evento previsto."</w:t>
            </w:r>
          </w:p>
        </w:tc>
      </w:tr>
    </w:tbl>
    <w:p/>
    <w:p>
      <w:pPr>
        <w:pStyle w:val="Heading3"/>
      </w:pPr>
      <w:r>
        <w:t>Objecoes comuns do cliente brasileiro</w:t>
      </w:r>
    </w:p>
    <w:tbl>
      <w:tblPr>
        <w:tblStyle w:val="TableGrid"/>
        <w:tblW w:type="auto" w:w="0"/>
        <w:tblLook w:firstColumn="1" w:firstRow="1" w:lastColumn="0" w:lastRow="0" w:noHBand="0" w:noVBand="1" w:val="04A0"/>
      </w:tblPr>
      <w:tblGrid>
        <w:gridCol w:w="4896"/>
        <w:gridCol w:w="4896"/>
      </w:tblGrid>
      <w:tr>
        <w:tc>
          <w:tcPr>
            <w:tcW w:type="dxa" w:w="4896"/>
          </w:tcPr>
          <w:p>
            <w:r>
              <w:t>Objecao</w:t>
            </w:r>
          </w:p>
        </w:tc>
        <w:tc>
          <w:tcPr>
            <w:tcW w:type="dxa" w:w="4896"/>
          </w:tcPr>
          <w:p>
            <w:r>
              <w:t>Resposta sugerida</w:t>
            </w:r>
          </w:p>
        </w:tc>
      </w:tr>
      <w:tr>
        <w:tc>
          <w:tcPr>
            <w:tcW w:type="dxa" w:w="4896"/>
          </w:tcPr>
          <w:p>
            <w:r>
              <w:t>"Sou jovem, nao preciso de seguro de vida."</w:t>
            </w:r>
          </w:p>
        </w:tc>
        <w:tc>
          <w:tcPr>
            <w:tcW w:type="dxa" w:w="4896"/>
          </w:tcPr>
          <w:p>
            <w:r>
              <w:t>"O seguro nao e so idade; depende de familia, renda, dividas e objetivo de protecao."</w:t>
            </w:r>
          </w:p>
        </w:tc>
      </w:tr>
      <w:tr>
        <w:tc>
          <w:tcPr>
            <w:tcW w:type="dxa" w:w="4896"/>
          </w:tcPr>
          <w:p>
            <w:r>
              <w:t>"Quero colocar qualquer pessoa como beneficiario."</w:t>
            </w:r>
          </w:p>
        </w:tc>
        <w:tc>
          <w:tcPr>
            <w:tcW w:type="dxa" w:w="4896"/>
          </w:tcPr>
          <w:p>
            <w:r>
              <w:t>"Precisamos confirmar regras, dados corretos e impacto familiar ou fiscal."</w:t>
            </w:r>
          </w:p>
        </w:tc>
      </w:tr>
      <w:tr>
        <w:tc>
          <w:tcPr>
            <w:tcW w:type="dxa" w:w="4896"/>
          </w:tcPr>
          <w:p>
            <w:r>
              <w:t>"Se eu pagar, a seguradora tem que aceitar."</w:t>
            </w:r>
          </w:p>
        </w:tc>
        <w:tc>
          <w:tcPr>
            <w:tcW w:type="dxa" w:w="4896"/>
          </w:tcPr>
          <w:p>
            <w:r>
              <w:t>"A seguradora analisa a contratacao antes de aceitar."</w:t>
            </w:r>
          </w:p>
        </w:tc>
      </w:tr>
      <w:tr>
        <w:tc>
          <w:tcPr>
            <w:tcW w:type="dxa" w:w="4896"/>
          </w:tcPr>
          <w:p>
            <w:r>
              <w:t>"Nao preciso falar uma doenca antiga."</w:t>
            </w:r>
          </w:p>
        </w:tc>
        <w:tc>
          <w:tcPr>
            <w:tcW w:type="dxa" w:w="4896"/>
          </w:tcPr>
          <w:p>
            <w:r>
              <w:t>"Informacao de saude precisa ser respondida corretamente para evitar problema futuro."</w:t>
            </w:r>
          </w:p>
        </w:tc>
      </w:tr>
      <w:tr>
        <w:tc>
          <w:tcPr>
            <w:tcW w:type="dxa" w:w="4896"/>
          </w:tcPr>
          <w:p>
            <w:r>
              <w:t>"Quando falecer, paga automaticamente?"</w:t>
            </w:r>
          </w:p>
        </w:tc>
        <w:tc>
          <w:tcPr>
            <w:tcW w:type="dxa" w:w="4896"/>
          </w:tcPr>
          <w:p>
            <w:r>
              <w:t>"A familia ou beneficiario precisa solicitar e entregar documentos para analise."</w:t>
            </w:r>
          </w:p>
        </w:tc>
      </w:tr>
    </w:tbl>
    <w:p/>
    <w:p>
      <w:pPr>
        <w:pStyle w:val="Heading3"/>
      </w:pPr>
      <w:r>
        <w:t>O que o corretor nao deve prometer</w:t>
      </w:r>
    </w:p>
    <w:p>
      <w:pPr>
        <w:pStyle w:val="ListBullet"/>
      </w:pPr>
      <w:r>
        <w:t>Nao prometer aceitacao antes da analise.</w:t>
      </w:r>
    </w:p>
    <w:p>
      <w:pPr>
        <w:pStyle w:val="ListBullet"/>
      </w:pPr>
      <w:r>
        <w:t>Nao prometer pagamento automatico de indenizacao.</w:t>
      </w:r>
    </w:p>
    <w:p>
      <w:pPr>
        <w:pStyle w:val="ListBullet"/>
      </w:pPr>
      <w:r>
        <w:t>Nao dizer que declaracao de saude e formalidade sem importancia.</w:t>
      </w:r>
    </w:p>
    <w:p>
      <w:pPr>
        <w:pStyle w:val="ListBullet"/>
      </w:pPr>
      <w:r>
        <w:t>Nao definir imposto sem verificar o caso.</w:t>
      </w:r>
    </w:p>
    <w:p>
      <w:pPr>
        <w:pStyle w:val="ListBullet"/>
      </w:pPr>
      <w:r>
        <w:t>Nao escolher beneficiario pelo cliente.</w:t>
      </w:r>
    </w:p>
    <w:p>
      <w:pPr>
        <w:pStyle w:val="ListBullet"/>
      </w:pPr>
      <w:r>
        <w:t>Nao ignorar mudancas familiares que exigem revisao.</w:t>
      </w:r>
    </w:p>
    <w:p>
      <w:pPr>
        <w:pStyle w:val="Heading3"/>
      </w:pPr>
      <w:r>
        <w:t>Roteiro de atendimento rapido</w:t>
      </w:r>
    </w:p>
    <w:p>
      <w:pPr>
        <w:pStyle w:val="ListNumber"/>
      </w:pPr>
      <w:r>
        <w:t>Confirmar objetivo: protecao familiar, renda, doenca, aposentadoria ou planejamento.</w:t>
      </w:r>
    </w:p>
    <w:p>
      <w:pPr>
        <w:pStyle w:val="ListNumber"/>
      </w:pPr>
      <w:r>
        <w:t>Identificar contratante, segurado e beneficiario.</w:t>
      </w:r>
    </w:p>
    <w:p>
      <w:pPr>
        <w:pStyle w:val="ListNumber"/>
      </w:pPr>
      <w:r>
        <w:t>Explicar diferenca entre seguro temporario, vitalicio e coberturas adicionais.</w:t>
      </w:r>
    </w:p>
    <w:p>
      <w:pPr>
        <w:pStyle w:val="ListNumber"/>
      </w:pPr>
      <w:r>
        <w:t>Confirmar saude, historico e necessidade de declaracao correta.</w:t>
      </w:r>
    </w:p>
    <w:p>
      <w:pPr>
        <w:pStyle w:val="ListNumber"/>
      </w:pPr>
      <w:r>
        <w:t>Explicar que aceitacao e pagamento dependem de analise da seguradora.</w:t>
      </w:r>
    </w:p>
    <w:p>
      <w:pPr>
        <w:pStyle w:val="ListNumber"/>
      </w:pPr>
      <w:r>
        <w:t>Registrar proximo passo e documentos necessarios.</w:t>
      </w:r>
    </w:p>
    <w:p>
      <w:pPr>
        <w:pStyle w:val="Heading3"/>
      </w:pPr>
      <w:r>
        <w:t>Referencias cruzadas principais</w:t>
      </w:r>
    </w:p>
    <w:p>
      <w:pPr>
        <w:pStyle w:val="ListBullet"/>
      </w:pPr>
      <w:r>
        <w:t>VIDA-0001</w:t>
      </w:r>
    </w:p>
    <w:p>
      <w:pPr>
        <w:pStyle w:val="ListBullet"/>
      </w:pPr>
      <w:r>
        <w:t>VIDA-0002</w:t>
      </w:r>
    </w:p>
    <w:p>
      <w:pPr>
        <w:pStyle w:val="ListBullet"/>
      </w:pPr>
      <w:r>
        <w:t>VIDA-0003</w:t>
      </w:r>
    </w:p>
    <w:p>
      <w:pPr>
        <w:pStyle w:val="ListBullet"/>
      </w:pPr>
      <w:r>
        <w:t>VIDA-0004</w:t>
      </w:r>
    </w:p>
    <w:p>
      <w:pPr>
        <w:pStyle w:val="ListBullet"/>
      </w:pPr>
      <w:r>
        <w:t>VIDA-0009</w:t>
      </w:r>
    </w:p>
    <w:p>
      <w:pPr>
        <w:pStyle w:val="ListBullet"/>
      </w:pPr>
      <w:r>
        <w:t>VIDA-0010</w:t>
      </w:r>
    </w:p>
    <w:p>
      <w:pPr>
        <w:pStyle w:val="ListBullet"/>
      </w:pPr>
      <w:r>
        <w:t>VIDA-0011</w:t>
      </w:r>
    </w:p>
    <w:p>
      <w:pPr>
        <w:pStyle w:val="ListBullet"/>
      </w:pPr>
      <w:r>
        <w:t>VIDA-0012</w:t>
      </w:r>
    </w:p>
    <w:p>
      <w:pPr>
        <w:pStyle w:val="ListBullet"/>
      </w:pPr>
      <w:r>
        <w:t>VIDA-0018</w:t>
      </w:r>
    </w:p>
    <w:p>
      <w:pPr>
        <w:pStyle w:val="ListBullet"/>
      </w:pPr>
      <w:r>
        <w:t>VIDA-0049</w:t>
      </w:r>
    </w:p>
    <w:p>
      <w:pPr>
        <w:pStyle w:val="ListBullet"/>
      </w:pPr>
      <w:r>
        <w:t>VIDA-0061</w:t>
      </w:r>
    </w:p>
    <w:p>
      <w:pPr>
        <w:pStyle w:val="ListBullet"/>
      </w:pPr>
      <w:r>
        <w:t>VIDA-0070</w:t>
      </w:r>
    </w:p>
    <w:p>
      <w:pPr>
        <w:pStyle w:val="ListBullet"/>
      </w:pPr>
      <w:r>
        <w:t>FAQ-VIDA-0001</w:t>
      </w:r>
    </w:p>
    <w:p>
      <w:pPr>
        <w:pStyle w:val="ListBullet"/>
      </w:pPr>
      <w:r>
        <w:t>FAQ-VIDA-0011</w:t>
      </w:r>
    </w:p>
    <w:p>
      <w:pPr>
        <w:pStyle w:val="ListBullet"/>
      </w:pPr>
      <w:r>
        <w:t>FAQ-VIDA-0018</w:t>
      </w:r>
    </w:p>
    <w:p>
      <w:pPr>
        <w:pStyle w:val="ListBullet"/>
      </w:pPr>
      <w:r>
        <w:t>FAQ-VIDA-0049</w:t>
      </w:r>
    </w:p>
    <w:p>
      <w:pPr>
        <w:pStyle w:val="ListBullet"/>
      </w:pPr>
      <w:r>
        <w:t>FAQ-VIDA-0061</w:t>
      </w:r>
    </w:p>
    <w:p>
      <w:pPr>
        <w:pStyle w:val="ListBullet"/>
      </w:pPr>
      <w:r>
        <w:t>FAQ-VIDA-0070</w:t>
      </w:r>
    </w:p>
    <w:p>
      <w:pPr>
        <w:pStyle w:val="ListBullet"/>
      </w:pPr>
      <w:r>
        <w:t>DIALOGUE-VIDA-0001</w:t>
      </w:r>
    </w:p>
    <w:p>
      <w:pPr>
        <w:pStyle w:val="ListBullet"/>
      </w:pPr>
      <w:r>
        <w:t>DIALOGUE-VIDA-0003</w:t>
      </w:r>
    </w:p>
    <w:p>
      <w:pPr>
        <w:pStyle w:val="ListBullet"/>
      </w:pPr>
      <w:r>
        <w:t>DIALOGUE-VIDA-0011</w:t>
      </w:r>
    </w:p>
    <w:p>
      <w:pPr>
        <w:pStyle w:val="ListBullet"/>
      </w:pPr>
      <w:r>
        <w:t>DIALOGUE-VIDA-0016</w:t>
      </w:r>
    </w:p>
    <w:p>
      <w:pPr>
        <w:pStyle w:val="ListBullet"/>
      </w:pPr>
      <w:r>
        <w:t>CASE-VIDA-0001</w:t>
      </w:r>
    </w:p>
    <w:p>
      <w:pPr>
        <w:pStyle w:val="ListBullet"/>
      </w:pPr>
      <w:r>
        <w:t>CASE-VIDA-0007</w:t>
      </w:r>
    </w:p>
    <w:p>
      <w:pPr>
        <w:pStyle w:val="ListBullet"/>
      </w:pPr>
      <w:r>
        <w:t>CASE-VIDA-0017</w:t>
      </w:r>
    </w:p>
    <w:p>
      <w:pPr>
        <w:pStyle w:val="ListBullet"/>
      </w:pPr>
      <w:r>
        <w:t>CASE-VIDA-0025</w:t>
      </w:r>
    </w:p>
    <w:p>
      <w:pPr>
        <w:pStyle w:val="Heading2"/>
      </w:pPr>
      <w:r>
        <w:t>Referências</w:t>
      </w:r>
    </w:p>
    <w:p>
      <w:pPr>
        <w:pStyle w:val="ListBullet"/>
      </w:pPr>
      <w:r>
        <w:t>`02_MasterDictionary/VIDA/`</w:t>
      </w:r>
    </w:p>
    <w:p>
      <w:pPr>
        <w:pStyle w:val="ListBullet"/>
      </w:pPr>
      <w:r>
        <w:t>`13_Dialogues/VIDA/`</w:t>
      </w:r>
    </w:p>
    <w:p>
      <w:pPr>
        <w:pStyle w:val="ListBullet"/>
      </w:pPr>
      <w:r>
        <w:t>`14_FAQ/VIDA/`</w:t>
      </w:r>
    </w:p>
    <w:p>
      <w:pPr>
        <w:pStyle w:val="ListBullet"/>
      </w:pPr>
      <w:r>
        <w:t>`15_CaseStudies/VIDA/`</w:t>
      </w:r>
    </w:p>
    <w:p>
      <w:pPr>
        <w:pStyle w:val="ListBullet"/>
      </w:pPr>
      <w:r>
        <w:t>`03_Glossary/MASTER_TERMINOLOGY.md`</w:t>
      </w:r>
    </w:p>
    <w:p>
      <w:pPr>
        <w:pStyle w:val="ListBullet"/>
      </w:pPr>
      <w:r>
        <w:t>`01_Editorial/JAPANESE_BROKER_NOTEBOOKLM_STANDARD.md`</w:t>
      </w:r>
    </w:p>
    <w:p>
      <w:pPr>
        <w:pStyle w:val="Heading2"/>
      </w:pPr>
      <w:r>
        <w:t>Veja também</w:t>
      </w:r>
    </w:p>
    <w:p>
      <w:pPr>
        <w:pStyle w:val="ListBullet"/>
      </w:pPr>
      <w:r>
        <w:t>`16_NotebookLM/VIDA_INDEX_0001.md`</w:t>
      </w:r>
    </w:p>
    <w:p>
      <w:pPr>
        <w:pStyle w:val="ListBullet"/>
      </w:pPr>
      <w:r>
        <w:t>`19_Markdown/VIDA/VIDA_DIALOGUES_0001_0005.md`</w:t>
      </w:r>
    </w:p>
    <w:p>
      <w:pPr>
        <w:pStyle w:val="ListBullet"/>
      </w:pPr>
      <w:r>
        <w:t>`19_Markdown/VIDA/VIDA_DIALOGUES_0016_0020.md`</w:t>
      </w:r>
    </w:p>
    <w:p>
      <w:pPr>
        <w:pStyle w:val="Heading2"/>
      </w:pPr>
      <w:r>
        <w:t>Histórico de revisão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Data</w:t>
            </w:r>
          </w:p>
        </w:tc>
        <w:tc>
          <w:tcPr>
            <w:tcW w:type="dxa" w:w="2448"/>
          </w:tcPr>
          <w:p>
            <w:r>
              <w:t>Versao</w:t>
            </w:r>
          </w:p>
        </w:tc>
        <w:tc>
          <w:tcPr>
            <w:tcW w:type="dxa" w:w="2448"/>
          </w:tcPr>
          <w:p>
            <w:r>
              <w:t>Autor</w:t>
            </w:r>
          </w:p>
        </w:tc>
        <w:tc>
          <w:tcPr>
            <w:tcW w:type="dxa" w:w="2448"/>
          </w:tcPr>
          <w:p>
            <w:r>
              <w:t>Alteracao</w:t>
            </w:r>
          </w:p>
        </w:tc>
      </w:tr>
      <w:tr>
        <w:tc>
          <w:tcPr>
            <w:tcW w:type="dxa" w:w="2448"/>
          </w:tcPr>
          <w:p>
            <w:r>
              <w:t>2026-06-26</w:t>
            </w:r>
          </w:p>
        </w:tc>
        <w:tc>
          <w:tcPr>
            <w:tcW w:type="dxa" w:w="2448"/>
          </w:tcPr>
          <w:p>
            <w:r>
              <w:t>0.1</w:t>
            </w:r>
          </w:p>
        </w:tc>
        <w:tc>
          <w:tcPr>
            <w:tcW w:type="dxa" w:w="2448"/>
          </w:tcPr>
          <w:p>
            <w:r>
              <w:t>JP-BR Insurance Knowledge Base</w:t>
            </w:r>
          </w:p>
        </w:tc>
        <w:tc>
          <w:tcPr>
            <w:tcW w:type="dxa" w:w="2448"/>
          </w:tcPr>
          <w:p>
            <w:r>
              <w:t>Criacao do primeiro pacote NotebookLM para seguro de vida.</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Yu Gothi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Yu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Yu 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Yu 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Yu 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Yu 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Yu 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Yu 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Yu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Yu Gothic"/>
    </w:rPr>
  </w:style>
  <w:style w:type="paragraph" w:styleId="BodyText">
    <w:name w:val="Body Text"/>
    <w:basedOn w:val="Normal"/>
    <w:link w:val="BodyTextChar"/>
    <w:uiPriority w:val="99"/>
    <w:unhideWhenUsed/>
    <w:rsid w:val="00AA1D8D"/>
    <w:pPr>
      <w:spacing w:after="120"/>
    </w:pPr>
    <w:rPr>
      <w:rFonts w:ascii="Arial" w:hAnsi="Arial" w:eastAsia="Yu Gothi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Yu Gothi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Yu Gothi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Yu Gothic"/>
    </w:rPr>
  </w:style>
  <w:style w:type="paragraph" w:styleId="List2">
    <w:name w:val="List 2"/>
    <w:basedOn w:val="Normal"/>
    <w:uiPriority w:val="99"/>
    <w:unhideWhenUsed/>
    <w:rsid w:val="00326F90"/>
    <w:pPr>
      <w:ind w:left="720" w:hanging="360"/>
      <w:contextualSpacing/>
    </w:pPr>
    <w:rPr>
      <w:rFonts w:ascii="Arial" w:hAnsi="Arial" w:eastAsia="Yu Gothic"/>
    </w:rPr>
  </w:style>
  <w:style w:type="paragraph" w:styleId="List3">
    <w:name w:val="List 3"/>
    <w:basedOn w:val="Normal"/>
    <w:uiPriority w:val="99"/>
    <w:unhideWhenUsed/>
    <w:rsid w:val="00326F90"/>
    <w:pPr>
      <w:ind w:left="1080" w:hanging="360"/>
      <w:contextualSpacing/>
    </w:pPr>
    <w:rPr>
      <w:rFonts w:ascii="Arial" w:hAnsi="Arial" w:eastAsia="Yu Gothic"/>
    </w:rPr>
  </w:style>
  <w:style w:type="paragraph" w:styleId="ListBullet">
    <w:name w:val="List Bullet"/>
    <w:basedOn w:val="Normal"/>
    <w:uiPriority w:val="99"/>
    <w:unhideWhenUsed/>
    <w:rsid w:val="00326F90"/>
    <w:pPr>
      <w:numPr>
        <w:numId w:val="1"/>
      </w:numPr>
      <w:contextualSpacing/>
    </w:pPr>
    <w:rPr>
      <w:rFonts w:ascii="Arial" w:hAnsi="Arial" w:eastAsia="Yu Gothic"/>
    </w:rPr>
  </w:style>
  <w:style w:type="paragraph" w:styleId="ListBullet2">
    <w:name w:val="List Bullet 2"/>
    <w:basedOn w:val="Normal"/>
    <w:uiPriority w:val="99"/>
    <w:unhideWhenUsed/>
    <w:rsid w:val="00326F90"/>
    <w:pPr>
      <w:numPr>
        <w:numId w:val="2"/>
      </w:numPr>
      <w:contextualSpacing/>
    </w:pPr>
    <w:rPr>
      <w:rFonts w:ascii="Arial" w:hAnsi="Arial" w:eastAsia="Yu Gothic"/>
    </w:rPr>
  </w:style>
  <w:style w:type="paragraph" w:styleId="ListBullet3">
    <w:name w:val="List Bullet 3"/>
    <w:basedOn w:val="Normal"/>
    <w:uiPriority w:val="99"/>
    <w:unhideWhenUsed/>
    <w:rsid w:val="00326F90"/>
    <w:pPr>
      <w:numPr>
        <w:numId w:val="3"/>
      </w:numPr>
      <w:contextualSpacing/>
    </w:pPr>
    <w:rPr>
      <w:rFonts w:ascii="Arial" w:hAnsi="Arial" w:eastAsia="Yu Gothic"/>
    </w:rPr>
  </w:style>
  <w:style w:type="paragraph" w:styleId="ListNumber">
    <w:name w:val="List Number"/>
    <w:basedOn w:val="Normal"/>
    <w:uiPriority w:val="99"/>
    <w:unhideWhenUsed/>
    <w:rsid w:val="00326F90"/>
    <w:pPr>
      <w:numPr>
        <w:numId w:val="5"/>
      </w:numPr>
      <w:contextualSpacing/>
    </w:pPr>
    <w:rPr>
      <w:rFonts w:ascii="Arial" w:hAnsi="Arial" w:eastAsia="Yu Gothic"/>
    </w:rPr>
  </w:style>
  <w:style w:type="paragraph" w:styleId="ListNumber2">
    <w:name w:val="List Number 2"/>
    <w:basedOn w:val="Normal"/>
    <w:uiPriority w:val="99"/>
    <w:unhideWhenUsed/>
    <w:rsid w:val="0029639D"/>
    <w:pPr>
      <w:numPr>
        <w:numId w:val="6"/>
      </w:numPr>
      <w:contextualSpacing/>
    </w:pPr>
    <w:rPr>
      <w:rFonts w:ascii="Arial" w:hAnsi="Arial" w:eastAsia="Yu Gothic"/>
    </w:rPr>
  </w:style>
  <w:style w:type="paragraph" w:styleId="ListNumber3">
    <w:name w:val="List Number 3"/>
    <w:basedOn w:val="Normal"/>
    <w:uiPriority w:val="99"/>
    <w:unhideWhenUsed/>
    <w:rsid w:val="0029639D"/>
    <w:pPr>
      <w:numPr>
        <w:numId w:val="7"/>
      </w:numPr>
      <w:contextualSpacing/>
    </w:pPr>
    <w:rPr>
      <w:rFonts w:ascii="Arial" w:hAnsi="Arial" w:eastAsia="Yu Gothic"/>
    </w:rPr>
  </w:style>
  <w:style w:type="paragraph" w:styleId="ListContinue">
    <w:name w:val="List Continue"/>
    <w:basedOn w:val="Normal"/>
    <w:uiPriority w:val="99"/>
    <w:unhideWhenUsed/>
    <w:rsid w:val="0029639D"/>
    <w:pPr>
      <w:spacing w:after="120"/>
      <w:ind w:left="360"/>
      <w:contextualSpacing/>
    </w:pPr>
    <w:rPr>
      <w:rFonts w:ascii="Arial" w:hAnsi="Arial" w:eastAsia="Yu Gothic"/>
    </w:rPr>
  </w:style>
  <w:style w:type="paragraph" w:styleId="ListContinue2">
    <w:name w:val="List Continue 2"/>
    <w:basedOn w:val="Normal"/>
    <w:uiPriority w:val="99"/>
    <w:unhideWhenUsed/>
    <w:rsid w:val="0029639D"/>
    <w:pPr>
      <w:spacing w:after="120"/>
      <w:ind w:left="720"/>
      <w:contextualSpacing/>
    </w:pPr>
    <w:rPr>
      <w:rFonts w:ascii="Arial" w:hAnsi="Arial" w:eastAsia="Yu Gothic"/>
    </w:rPr>
  </w:style>
  <w:style w:type="paragraph" w:styleId="ListContinue3">
    <w:name w:val="List Continue 3"/>
    <w:basedOn w:val="Normal"/>
    <w:uiPriority w:val="99"/>
    <w:unhideWhenUsed/>
    <w:rsid w:val="0029639D"/>
    <w:pPr>
      <w:spacing w:after="120"/>
      <w:ind w:left="1080"/>
      <w:contextualSpacing/>
    </w:pPr>
    <w:rPr>
      <w:rFonts w:ascii="Arial" w:hAnsi="Arial" w:eastAsia="Yu 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Yu Gothi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Yu Goth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Yu Gothi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Yu 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