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MED_CASES_0009_0016 - Estudos de caso MED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camada japonesa para o corretor e português explícito para o cliente brasileiro.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CASE-MED-0009 - Cliente não sabe como iniciar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CASE-MED-0009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既往症がある場合の加入可否を確認する相談。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tratar saúde mental com cuidado e confirmar histórico, cobertura e exclusões do contrato.</w:t>
      </w:r>
    </w:p>
    <w:p>
      <w:pPr>
        <w:pStyle w:val="Heading3"/>
      </w:pPr>
      <w:r>
        <w:t>カタカナ読み</w:t>
      </w:r>
    </w:p>
    <w:p>
      <w:r>
        <w:t>ヴァモス トラタール サウージ メンタウ コン クイダード イ コンフィルマール イストリコ、コベルトゥーラ イ エスクルゾィンス ド コントラト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MED-0021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MED-0023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FAQ-MED-0023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DIALOGUE-MED-0006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MED-0021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MED-0023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DIALOGUE-MED-0006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CASE-MED-0010 - Cliente recebeu pedido de atestado médico detalhado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CASE-MED-0010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保障開始日と待機期間を確認する相談。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Ter doença anterior não permite resposta automática; a seguradora precisa analisar a declaração de saúde.</w:t>
      </w:r>
    </w:p>
    <w:p>
      <w:pPr>
        <w:pStyle w:val="Heading3"/>
      </w:pPr>
      <w:r>
        <w:t>カタカナ読み</w:t>
      </w:r>
    </w:p>
    <w:p>
      <w:r>
        <w:t>テール ドエンサ アンテリオール ナォン ペルミチ ヘスポスタ アウトマチカ。ア セグラドーラ プレシーザ アナリザール ア デクララサォン ジ サウージ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MED-0023</w:t>
      </w:r>
    </w:p>
    <w:p>
      <w:pPr>
        <w:pStyle w:val="ListBullet"/>
      </w:pPr>
      <w:r>
        <w:t>MED-0024</w:t>
      </w:r>
    </w:p>
    <w:p>
      <w:pPr>
        <w:pStyle w:val="ListBullet"/>
      </w:pPr>
      <w:r>
        <w:t>MED-0025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FAQ-MED-0025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DIALOGUE-MED-0006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MED-0023</w:t>
      </w:r>
    </w:p>
    <w:p>
      <w:pPr>
        <w:pStyle w:val="ListBullet"/>
      </w:pPr>
      <w:r>
        <w:t>MED-0024</w:t>
      </w:r>
    </w:p>
    <w:p>
      <w:pPr>
        <w:pStyle w:val="ListBullet"/>
      </w:pPr>
      <w:r>
        <w:t>MED-0025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DIALOGUE-MED-0006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CASE-MED-0011 - Cliente perdeu parte dos recibos do hospital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CASE-MED-0011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給付金請求に必要な書類を確認する相談。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 data de início e se existe período de espera antes de considerar qualquer atendimento coberto.</w:t>
      </w:r>
    </w:p>
    <w:p>
      <w:pPr>
        <w:pStyle w:val="Heading3"/>
      </w:pPr>
      <w:r>
        <w:t>カタカナ読み</w:t>
      </w:r>
    </w:p>
    <w:p>
      <w:r>
        <w:t>ヴァモス コンフィルマール ア ダタ ジ イニシオ イ セ エジスチ ペリオド ジ エスペラ アンチス ジ コンシデラール クアウケール アテンジメント コベルト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MED-0025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MED-0027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FAQ-MED-0027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DIALOGUE-MED-0007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MED-0025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MED-0027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DIALOGUE-MED-0007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CASE-MED-0012 - Cliente precisa comprovar internação 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CASE-MED-0012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診断書や領収書の不足による請求遅延を避ける相談。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organizar formulário, relatório médico, recibos e identificação para evitar atraso na análise.</w:t>
      </w:r>
    </w:p>
    <w:p>
      <w:pPr>
        <w:pStyle w:val="Heading3"/>
      </w:pPr>
      <w:r>
        <w:t>カタカナ読み</w:t>
      </w:r>
    </w:p>
    <w:p>
      <w:r>
        <w:t>ヴァモス オルガニザール フォルムラリオ、ヘラトリオ メジコ、ヘシボス イ イデンチフィカサォン パラ エヴィタール アトラゾ ナ アナリジ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MED-0027</w:t>
      </w:r>
    </w:p>
    <w:p>
      <w:pPr>
        <w:pStyle w:val="ListBullet"/>
      </w:pPr>
      <w:r>
        <w:t>MED-0028</w:t>
      </w:r>
    </w:p>
    <w:p>
      <w:pPr>
        <w:pStyle w:val="ListBullet"/>
      </w:pPr>
      <w:r>
        <w:t>MED-0029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FAQ-MED-0029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DIALOGUE-MED-0007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MED-0027</w:t>
      </w:r>
    </w:p>
    <w:p>
      <w:pPr>
        <w:pStyle w:val="ListBullet"/>
      </w:pPr>
      <w:r>
        <w:t>MED-0028</w:t>
      </w:r>
    </w:p>
    <w:p>
      <w:pPr>
        <w:pStyle w:val="ListBullet"/>
      </w:pPr>
      <w:r>
        <w:t>MED-0029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DIALOGUE-MED-0007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CASE-MED-0013 - Cliente deixou passar muito tempo antes de pedir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CASE-MED-0013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支払査定の流れと支払時期を確認する相談。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O prazo depende dos documentos e da análise; vou acompanhar sem prometer uma data de pagamento.</w:t>
      </w:r>
    </w:p>
    <w:p>
      <w:pPr>
        <w:pStyle w:val="Heading3"/>
      </w:pPr>
      <w:r>
        <w:t>カタカナ読み</w:t>
      </w:r>
    </w:p>
    <w:p>
      <w:r>
        <w:t>オ プラゾ デペンジ ドス ドクメントス イ ダ アナリジ。ヴォウ アコンパニャール セン プロメテール ウマ ダタ ジ パガメント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MED-0029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MED-0031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FAQ-MED-0031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DIALOGUE-MED-0008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MED-0029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MED-0031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DIALOGUE-MED-0008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CASE-MED-0014 - Cliente enviou documentos com erro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CASE-MED-0014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追加書類や不備対応を確認する相談。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Se houver pendência, vamos identificar exatamente o que falta e enviar o complemento correto.</w:t>
      </w:r>
    </w:p>
    <w:p>
      <w:pPr>
        <w:pStyle w:val="Heading3"/>
      </w:pPr>
      <w:r>
        <w:t>カタカナ読み</w:t>
      </w:r>
    </w:p>
    <w:p>
      <w:r>
        <w:t>セ オヴェール ペンデンシア、ヴァモス イデンチフィカール エザタメンチ オ キ ファウタ イ エンヴィアール オ コンプレメント コヘト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MED-0031</w:t>
      </w:r>
    </w:p>
    <w:p>
      <w:pPr>
        <w:pStyle w:val="ListBullet"/>
      </w:pPr>
      <w:r>
        <w:t>MED-0032</w:t>
      </w:r>
    </w:p>
    <w:p>
      <w:pPr>
        <w:pStyle w:val="ListBullet"/>
      </w:pPr>
      <w:r>
        <w:t>MED-0033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FAQ-MED-0033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DIALOGUE-MED-0008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MED-0031</w:t>
      </w:r>
    </w:p>
    <w:p>
      <w:pPr>
        <w:pStyle w:val="ListBullet"/>
      </w:pPr>
      <w:r>
        <w:t>MED-0032</w:t>
      </w:r>
    </w:p>
    <w:p>
      <w:pPr>
        <w:pStyle w:val="ListBullet"/>
      </w:pPr>
      <w:r>
        <w:t>MED-0033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DIALOGUE-MED-0008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CASE-MED-0015 - Cliente recebeu pendência documental da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CASE-MED-0015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不払い理由と再査定の可能性を確認する相談。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Antes de pedir reanálise, vamos entender o motivo da decisão e verificar se existe documento novo.</w:t>
      </w:r>
    </w:p>
    <w:p>
      <w:pPr>
        <w:pStyle w:val="Heading3"/>
      </w:pPr>
      <w:r>
        <w:t>カタカナ読み</w:t>
      </w:r>
    </w:p>
    <w:p>
      <w:r>
        <w:t>アンチス ジ ペジール ヘアナリジ、ヴァモス エンテンデール オ モチーヴォ ダ デシザォン イ ヴェリフィカール セ エジスチ ドクメント ノーヴォ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MED-0033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MED-0035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FAQ-MED-0035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DIALOGUE-MED-0009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MED-0033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MED-0035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DIALOGUE-MED-0009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CASE-MED-0016 - Cliente quer contestar aviso de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CASE-MED-0016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給付金の振込口座や名義確認を行う相談。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os dados bancários com cuidado, porque erro de conta pode atrasar o depósito.</w:t>
      </w:r>
    </w:p>
    <w:p>
      <w:pPr>
        <w:pStyle w:val="Heading3"/>
      </w:pPr>
      <w:r>
        <w:t>カタカナ読み</w:t>
      </w:r>
    </w:p>
    <w:p>
      <w:r>
        <w:t>ヴァモス コンフィルマール オス ダードス バンカリオス コン クイダード、ポルキ エホ ジ コンタ ポジ アトラザール オ デポジト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MED-0035</w:t>
      </w:r>
    </w:p>
    <w:p>
      <w:pPr>
        <w:pStyle w:val="ListBullet"/>
      </w:pPr>
      <w:r>
        <w:t>MED-0036</w:t>
      </w:r>
    </w:p>
    <w:p>
      <w:pPr>
        <w:pStyle w:val="ListBullet"/>
      </w:pPr>
      <w:r>
        <w:t>MED-0037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FAQ-MED-0037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DIALOGUE-MED-0009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MED-0035</w:t>
      </w:r>
    </w:p>
    <w:p>
      <w:pPr>
        <w:pStyle w:val="ListBullet"/>
      </w:pPr>
      <w:r>
        <w:t>MED-0036</w:t>
      </w:r>
    </w:p>
    <w:p>
      <w:pPr>
        <w:pStyle w:val="ListBullet"/>
      </w:pPr>
      <w:r>
        <w:t>MED-0037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FAQ-MED-0037</w:t>
      </w:r>
    </w:p>
    <w:p>
      <w:pPr>
        <w:pStyle w:val="ListBullet"/>
      </w:pPr>
      <w:r>
        <w:t>DIALOGUE-MED-0009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`13_Dialogues/MED/DIALOGUE-MED-0009.md`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