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b/>
          <w:color w:val="1F4E79"/>
          <w:sz w:val="36"/>
        </w:rPr>
        <w:t>ACC_CASES_0011_0014 - 傷害保険ケーススタディ 0011-0014</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2026-07-03</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Consolidação do quinto lote ACC em pacote Markdown.</w:t>
      </w:r>
    </w:p>
    <w:p/>
    <w:p>
      <w:pPr>
        <w:pStyle w:val="Heading2"/>
      </w:pPr>
      <w:r>
        <w:rPr>
          <w:rFonts w:ascii="Noto Sans CJK JP" w:hAnsi="Noto Sans CJK JP" w:eastAsia="Noto Sans CJK JP"/>
          <w:b/>
          <w:color w:val="2F5496"/>
          <w:sz w:val="28"/>
        </w:rPr>
        <w:t>Título</w:t>
      </w:r>
    </w:p>
    <w:p/>
    <w:p>
      <w:r>
        <w:rPr>
          <w:rFonts w:ascii="Noto Sans CJK JP" w:hAnsi="Noto Sans CJK JP" w:eastAsia="Noto Sans CJK JP"/>
          <w:sz w:val="21"/>
        </w:rPr>
        <w:t>ACC_CASES_0011_0014 - 傷害保険ケーススタディ 0011-0014</w:t>
      </w:r>
    </w:p>
    <w:p/>
    <w:p>
      <w:pPr>
        <w:pStyle w:val="Heading2"/>
      </w:pPr>
      <w:r>
        <w:rPr>
          <w:rFonts w:ascii="Noto Sans CJK JP" w:hAnsi="Noto Sans CJK JP" w:eastAsia="Noto Sans CJK JP"/>
          <w:b/>
          <w:color w:val="2F5496"/>
          <w:sz w:val="28"/>
        </w:rPr>
        <w:t>Resumo</w:t>
      </w:r>
    </w:p>
    <w:p/>
    <w:p>
      <w:r>
        <w:rPr>
          <w:rFonts w:ascii="Noto Sans CJK JP" w:hAnsi="Noto Sans CJK JP" w:eastAsia="Noto Sans CJK JP"/>
          <w:sz w:val="21"/>
        </w:rPr>
        <w:t>支払通知後の口座確認、不支払理由確認、追加書類対応、請求完了後の書類保管に関するケーススタディ集。</w:t>
      </w:r>
    </w:p>
    <w:p/>
    <w:p>
      <w:pPr>
        <w:pStyle w:val="Heading2"/>
      </w:pPr>
      <w:r>
        <w:rPr>
          <w:rFonts w:ascii="Noto Sans CJK JP" w:hAnsi="Noto Sans CJK JP" w:eastAsia="Noto Sans CJK JP"/>
          <w:b/>
          <w:color w:val="2F5496"/>
          <w:sz w:val="28"/>
        </w:rPr>
        <w:t>Palavras-chave</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傷害保険</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ブラジル人顧客</w:t>
      </w:r>
    </w:p>
    <w:p/>
    <w:p>
      <w:pPr>
        <w:pStyle w:val="Heading2"/>
      </w:pPr>
      <w:r>
        <w:rPr>
          <w:rFonts w:ascii="Noto Sans CJK JP" w:hAnsi="Noto Sans CJK JP" w:eastAsia="Noto Sans CJK JP"/>
          <w:b/>
          <w:color w:val="2F5496"/>
          <w:sz w:val="28"/>
        </w:rPr>
        <w:t>Categorias</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Markdown</w:t>
      </w:r>
    </w:p>
    <w:p>
      <w:pPr>
        <w:pStyle w:val="ListBullet"/>
      </w:pPr>
      <w:r>
        <w:rPr>
          <w:rFonts w:ascii="Noto Sans CJK JP" w:hAnsi="Noto Sans CJK JP" w:eastAsia="Noto Sans CJK JP"/>
          <w:sz w:val="20"/>
        </w:rPr>
        <w:t>NotebookLM</w:t>
      </w:r>
    </w:p>
    <w:p/>
    <w:p>
      <w:pPr>
        <w:pStyle w:val="Heading2"/>
      </w:pPr>
      <w:r>
        <w:rPr>
          <w:rFonts w:ascii="Noto Sans CJK JP" w:hAnsi="Noto Sans CJK JP" w:eastAsia="Noto Sans CJK JP"/>
          <w:b/>
          <w:color w:val="2F5496"/>
          <w:sz w:val="28"/>
        </w:rPr>
        <w:t>Conteúdo</w:t>
      </w:r>
    </w:p>
    <w:p/>
    <w:p>
      <w:r>
        <w:br w:type="page"/>
      </w:r>
    </w:p>
    <w:p/>
    <w:p>
      <w:pPr>
        <w:pStyle w:val="Heading1"/>
      </w:pPr>
      <w:r>
        <w:rPr>
          <w:rFonts w:ascii="Noto Sans CJK JP" w:hAnsi="Noto Sans CJK JP" w:eastAsia="Noto Sans CJK JP"/>
          <w:b/>
          <w:color w:val="1F4E79"/>
          <w:sz w:val="36"/>
        </w:rPr>
        <w:t>CASE-ACC-0011 - 支払通知後の入金日と口座確認</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2026-07-03</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quinto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CASE-ACC-0011</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保険会社から支払通知が届き、顧客が入金予定日と口座情報を確認している。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顧客が募集人の口頭説明を正式な支払約束と受け取る可能性がある。</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支払通知、支払日、支払金額、口座情報は保険会社の正式案内で確認する。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正式通知を一緒に確認し、口座情報、金額、支払日を通知内容に沿って案内する。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 data, o valor e a conta devem ser confirmados pelo aviso oficial da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 ダタ、オ ヴァロール イ ア コンタ デヴェン セール コンフィルマードス ペロ アヴィゾ オフィシアウ ダ セグラドーラ</w:t>
      </w:r>
    </w:p>
    <w:p/>
    <w:p>
      <w:r>
        <w:rPr>
          <w:rFonts w:ascii="Noto Sans CJK JP" w:hAnsi="Noto Sans CJK JP" w:eastAsia="Noto Sans CJK JP"/>
          <w:sz w:val="21"/>
        </w:rPr>
        <w:t>日本語確認用: 支払通知は正式案内で確認する。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支払通知、口座情報、本人確認書類を確認する。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募集人は支払可否、支払金額、支払時期、補償、対象該当性、免責該当性を断定しない。最終判断は契約条件、事故状況、提出書類、公的制度および保険会社の査定による。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顧客が、正式通知、追加確認、必要書類、保管すべき資料を理解する。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ACC-0031</w:t>
      </w:r>
    </w:p>
    <w:p>
      <w:pPr>
        <w:pStyle w:val="ListBullet"/>
      </w:pPr>
      <w:r>
        <w:rPr>
          <w:rFonts w:ascii="Noto Sans CJK JP" w:hAnsi="Noto Sans CJK JP" w:eastAsia="Noto Sans CJK JP"/>
          <w:sz w:val="20"/>
        </w:rPr>
        <w:t>ACC-0038</w:t>
      </w:r>
    </w:p>
    <w:p>
      <w:pPr>
        <w:pStyle w:val="ListBullet"/>
      </w:pPr>
      <w:r>
        <w:rPr>
          <w:rFonts w:ascii="Noto Sans CJK JP" w:hAnsi="Noto Sans CJK JP" w:eastAsia="Noto Sans CJK JP"/>
          <w:sz w:val="20"/>
        </w:rPr>
        <w:t>ACC-0030</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FAQ-ACC-0031</w:t>
      </w:r>
    </w:p>
    <w:p>
      <w:pPr>
        <w:pStyle w:val="ListBullet"/>
      </w:pPr>
      <w:r>
        <w:rPr>
          <w:rFonts w:ascii="Noto Sans CJK JP" w:hAnsi="Noto Sans CJK JP" w:eastAsia="Noto Sans CJK JP"/>
          <w:sz w:val="20"/>
        </w:rPr>
        <w:t>FAQ-ACC-0038</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DIALOGUE-ACC-0011</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ACC-0031</w:t>
      </w:r>
    </w:p>
    <w:p>
      <w:pPr>
        <w:pStyle w:val="ListBullet"/>
      </w:pPr>
      <w:r>
        <w:rPr>
          <w:rFonts w:ascii="Noto Sans CJK JP" w:hAnsi="Noto Sans CJK JP" w:eastAsia="Noto Sans CJK JP"/>
          <w:sz w:val="20"/>
        </w:rPr>
        <w:t>ACC-0038</w:t>
      </w:r>
    </w:p>
    <w:p>
      <w:pPr>
        <w:pStyle w:val="ListBullet"/>
      </w:pPr>
      <w:r>
        <w:rPr>
          <w:rFonts w:ascii="Noto Sans CJK JP" w:hAnsi="Noto Sans CJK JP" w:eastAsia="Noto Sans CJK JP"/>
          <w:sz w:val="20"/>
        </w:rPr>
        <w:t>ACC-0030</w:t>
      </w:r>
    </w:p>
    <w:p>
      <w:pPr>
        <w:pStyle w:val="ListBullet"/>
      </w:pPr>
      <w:r>
        <w:rPr>
          <w:rFonts w:ascii="Noto Sans CJK JP" w:hAnsi="Noto Sans CJK JP" w:eastAsia="Noto Sans CJK JP"/>
          <w:sz w:val="20"/>
        </w:rPr>
        <w:t>FAQ-ACC-0031</w:t>
      </w:r>
    </w:p>
    <w:p>
      <w:pPr>
        <w:pStyle w:val="ListBullet"/>
      </w:pPr>
      <w:r>
        <w:rPr>
          <w:rFonts w:ascii="Noto Sans CJK JP" w:hAnsi="Noto Sans CJK JP" w:eastAsia="Noto Sans CJK JP"/>
          <w:sz w:val="20"/>
        </w:rPr>
        <w:t>FAQ-ACC-0038</w:t>
      </w:r>
    </w:p>
    <w:p>
      <w:pPr>
        <w:pStyle w:val="ListBullet"/>
      </w:pPr>
      <w:r>
        <w:rPr>
          <w:rFonts w:ascii="Noto Sans CJK JP" w:hAnsi="Noto Sans CJK JP" w:eastAsia="Noto Sans CJK JP"/>
          <w:sz w:val="20"/>
        </w:rPr>
        <w:t>DIALOGUE-ACC-0011</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`14_FAQ/ACC/FAQ-ACC-0031.md`</w:t>
      </w:r>
    </w:p>
    <w:p>
      <w:pPr>
        <w:pStyle w:val="ListBullet"/>
      </w:pPr>
      <w:r>
        <w:rPr>
          <w:rFonts w:ascii="Noto Sans CJK JP" w:hAnsi="Noto Sans CJK JP" w:eastAsia="Noto Sans CJK JP"/>
          <w:sz w:val="20"/>
        </w:rPr>
        <w:t>`14_FAQ/ACC/FAQ-ACC-0038.md`</w:t>
      </w:r>
    </w:p>
    <w:p>
      <w:pPr>
        <w:pStyle w:val="ListBullet"/>
      </w:pPr>
      <w:r>
        <w:rPr>
          <w:rFonts w:ascii="Noto Sans CJK JP" w:hAnsi="Noto Sans CJK JP" w:eastAsia="Noto Sans CJK JP"/>
          <w:sz w:val="20"/>
        </w:rPr>
        <w:t>`13_Dialogues/ACC/DIALOGUE-ACC-0011.md`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2026-07-03</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CASE-ACC-0012 - 不支払通知後の理由確認</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2026-07-03</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quinto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CASE-ACC-0012</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顧客が不支払通知を受け、支払われない理由と再確認の可能性を相談している。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顧客が募集人に支払いを変更できると期待している。</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不支払理由は正式通知、契約条件、免責、提出書類、事故状況で確認する。募集人は支払いを約束しない。</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正式通知の理由を確認し、不明点があれば保険会社照会を行う。</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Primeiro vamos verificar o motivo indicado no aviso oficial.</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プリメイロ ヴァモス ヴェリフィカール オ モチーヴォ インジカード ノ アヴィゾ オフィシアウ</w:t>
      </w:r>
    </w:p>
    <w:p/>
    <w:p>
      <w:r>
        <w:rPr>
          <w:rFonts w:ascii="Noto Sans CJK JP" w:hAnsi="Noto Sans CJK JP" w:eastAsia="Noto Sans CJK JP"/>
          <w:sz w:val="21"/>
        </w:rPr>
        <w:t>日本語確認用: 不支払理由は正式通知で確認する。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不支払通知、契約条件、提出済み書類、事故状況を確認する。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募集人は支払可否、支払金額、支払時期、補償、対象該当性、免責該当性を断定しない。最終判断は契約条件、事故状況、提出書類、公的制度および保険会社の査定による。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顧客が、正式通知、追加確認、必要書類、保管すべき資料を理解する。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ACC-0032</w:t>
      </w:r>
    </w:p>
    <w:p>
      <w:pPr>
        <w:pStyle w:val="ListBullet"/>
      </w:pPr>
      <w:r>
        <w:rPr>
          <w:rFonts w:ascii="Noto Sans CJK JP" w:hAnsi="Noto Sans CJK JP" w:eastAsia="Noto Sans CJK JP"/>
          <w:sz w:val="20"/>
        </w:rPr>
        <w:t>ACC-0010</w:t>
      </w:r>
    </w:p>
    <w:p>
      <w:pPr>
        <w:pStyle w:val="ListBullet"/>
      </w:pPr>
      <w:r>
        <w:rPr>
          <w:rFonts w:ascii="Noto Sans CJK JP" w:hAnsi="Noto Sans CJK JP" w:eastAsia="Noto Sans CJK JP"/>
          <w:sz w:val="20"/>
        </w:rPr>
        <w:t>ACC-0035</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FAQ-ACC-0032</w:t>
      </w:r>
    </w:p>
    <w:p>
      <w:pPr>
        <w:pStyle w:val="ListBullet"/>
      </w:pPr>
      <w:r>
        <w:rPr>
          <w:rFonts w:ascii="Noto Sans CJK JP" w:hAnsi="Noto Sans CJK JP" w:eastAsia="Noto Sans CJK JP"/>
          <w:sz w:val="20"/>
        </w:rPr>
        <w:t>FAQ-ACC-0035</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DIALOGUE-ACC-0012</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ACC-0032</w:t>
      </w:r>
    </w:p>
    <w:p>
      <w:pPr>
        <w:pStyle w:val="ListBullet"/>
      </w:pPr>
      <w:r>
        <w:rPr>
          <w:rFonts w:ascii="Noto Sans CJK JP" w:hAnsi="Noto Sans CJK JP" w:eastAsia="Noto Sans CJK JP"/>
          <w:sz w:val="20"/>
        </w:rPr>
        <w:t>ACC-0010</w:t>
      </w:r>
    </w:p>
    <w:p>
      <w:pPr>
        <w:pStyle w:val="ListBullet"/>
      </w:pPr>
      <w:r>
        <w:rPr>
          <w:rFonts w:ascii="Noto Sans CJK JP" w:hAnsi="Noto Sans CJK JP" w:eastAsia="Noto Sans CJK JP"/>
          <w:sz w:val="20"/>
        </w:rPr>
        <w:t>ACC-0035</w:t>
      </w:r>
    </w:p>
    <w:p>
      <w:pPr>
        <w:pStyle w:val="ListBullet"/>
      </w:pPr>
      <w:r>
        <w:rPr>
          <w:rFonts w:ascii="Noto Sans CJK JP" w:hAnsi="Noto Sans CJK JP" w:eastAsia="Noto Sans CJK JP"/>
          <w:sz w:val="20"/>
        </w:rPr>
        <w:t>FAQ-ACC-0032</w:t>
      </w:r>
    </w:p>
    <w:p>
      <w:pPr>
        <w:pStyle w:val="ListBullet"/>
      </w:pPr>
      <w:r>
        <w:rPr>
          <w:rFonts w:ascii="Noto Sans CJK JP" w:hAnsi="Noto Sans CJK JP" w:eastAsia="Noto Sans CJK JP"/>
          <w:sz w:val="20"/>
        </w:rPr>
        <w:t>FAQ-ACC-0035</w:t>
      </w:r>
    </w:p>
    <w:p>
      <w:pPr>
        <w:pStyle w:val="ListBullet"/>
      </w:pPr>
      <w:r>
        <w:rPr>
          <w:rFonts w:ascii="Noto Sans CJK JP" w:hAnsi="Noto Sans CJK JP" w:eastAsia="Noto Sans CJK JP"/>
          <w:sz w:val="20"/>
        </w:rPr>
        <w:t>DIALOGUE-ACC-0012</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`14_FAQ/ACC/FAQ-ACC-0032.md`</w:t>
      </w:r>
    </w:p>
    <w:p>
      <w:pPr>
        <w:pStyle w:val="ListBullet"/>
      </w:pPr>
      <w:r>
        <w:rPr>
          <w:rFonts w:ascii="Noto Sans CJK JP" w:hAnsi="Noto Sans CJK JP" w:eastAsia="Noto Sans CJK JP"/>
          <w:sz w:val="20"/>
        </w:rPr>
        <w:t>`14_FAQ/ACC/FAQ-ACC-0035.md`</w:t>
      </w:r>
    </w:p>
    <w:p>
      <w:pPr>
        <w:pStyle w:val="ListBullet"/>
      </w:pPr>
      <w:r>
        <w:rPr>
          <w:rFonts w:ascii="Noto Sans CJK JP" w:hAnsi="Noto Sans CJK JP" w:eastAsia="Noto Sans CJK JP"/>
          <w:sz w:val="20"/>
        </w:rPr>
        <w:t>`13_Dialogues/ACC/DIALOGUE-ACC-0012.md`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2026-07-03</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CASE-ACC-0013 - 追加書類依頼と書類不備の修正</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2026-07-03</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quinto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CASE-ACC-0013</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保険会社から追加書類または不備修正の依頼が届いた。</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顧客が追加書類依頼を不支払決定と誤解している。</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追加書類や書類不備は査定を進めるための確認であり、それだけで支払可否は決まらない。</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不足書類、記入漏れ、不鮮明な画像、翻訳要否を確認して再提出する。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Pedido de documento adicional não decide o pagamento. Primeiro vamos corrigir e reenviar o que for necessário.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ペジード ジ ドクメント アジシオナウ ナォン デシジ オ パガメント。プリメイロ ヴァモス コヒジール イ ヘエンヴィアール オ キ フォール ネセサリオ</w:t>
      </w:r>
    </w:p>
    <w:p/>
    <w:p>
      <w:r>
        <w:rPr>
          <w:rFonts w:ascii="Noto Sans CJK JP" w:hAnsi="Noto Sans CJK JP" w:eastAsia="Noto Sans CJK JP"/>
          <w:sz w:val="21"/>
        </w:rPr>
        <w:t>日本語確認用: 追加書類依頼は支払可否の断定ではない。</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追加書類一覧、記入済み請求書、画像の鮮明さ、翻訳要否を確認する。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募集人は支払可否、支払金額、支払時期、補償、対象該当性、免責該当性を断定しない。最終判断は契約条件、事故状況、提出書類、公的制度および保険会社の査定による。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顧客が、正式通知、追加確認、必要書類、保管すべき資料を理解する。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ACC-0033</w:t>
      </w:r>
    </w:p>
    <w:p>
      <w:pPr>
        <w:pStyle w:val="ListBullet"/>
      </w:pPr>
      <w:r>
        <w:rPr>
          <w:rFonts w:ascii="Noto Sans CJK JP" w:hAnsi="Noto Sans CJK JP" w:eastAsia="Noto Sans CJK JP"/>
          <w:sz w:val="20"/>
        </w:rPr>
        <w:t>ACC-0034</w:t>
      </w:r>
    </w:p>
    <w:p>
      <w:pPr>
        <w:pStyle w:val="ListBullet"/>
      </w:pPr>
      <w:r>
        <w:rPr>
          <w:rFonts w:ascii="Noto Sans CJK JP" w:hAnsi="Noto Sans CJK JP" w:eastAsia="Noto Sans CJK JP"/>
          <w:sz w:val="20"/>
        </w:rPr>
        <w:t>ACC-0039</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FAQ-ACC-0033</w:t>
      </w:r>
    </w:p>
    <w:p>
      <w:pPr>
        <w:pStyle w:val="ListBullet"/>
      </w:pPr>
      <w:r>
        <w:rPr>
          <w:rFonts w:ascii="Noto Sans CJK JP" w:hAnsi="Noto Sans CJK JP" w:eastAsia="Noto Sans CJK JP"/>
          <w:sz w:val="20"/>
        </w:rPr>
        <w:t>FAQ-ACC-0034</w:t>
      </w:r>
    </w:p>
    <w:p>
      <w:pPr>
        <w:pStyle w:val="ListBullet"/>
      </w:pPr>
      <w:r>
        <w:rPr>
          <w:rFonts w:ascii="Noto Sans CJK JP" w:hAnsi="Noto Sans CJK JP" w:eastAsia="Noto Sans CJK JP"/>
          <w:sz w:val="20"/>
        </w:rPr>
        <w:t>FAQ-ACC-0039</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DIALOGUE-ACC-0013</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ACC-0033</w:t>
      </w:r>
    </w:p>
    <w:p>
      <w:pPr>
        <w:pStyle w:val="ListBullet"/>
      </w:pPr>
      <w:r>
        <w:rPr>
          <w:rFonts w:ascii="Noto Sans CJK JP" w:hAnsi="Noto Sans CJK JP" w:eastAsia="Noto Sans CJK JP"/>
          <w:sz w:val="20"/>
        </w:rPr>
        <w:t>ACC-0034</w:t>
      </w:r>
    </w:p>
    <w:p>
      <w:pPr>
        <w:pStyle w:val="ListBullet"/>
      </w:pPr>
      <w:r>
        <w:rPr>
          <w:rFonts w:ascii="Noto Sans CJK JP" w:hAnsi="Noto Sans CJK JP" w:eastAsia="Noto Sans CJK JP"/>
          <w:sz w:val="20"/>
        </w:rPr>
        <w:t>ACC-0039</w:t>
      </w:r>
    </w:p>
    <w:p>
      <w:pPr>
        <w:pStyle w:val="ListBullet"/>
      </w:pPr>
      <w:r>
        <w:rPr>
          <w:rFonts w:ascii="Noto Sans CJK JP" w:hAnsi="Noto Sans CJK JP" w:eastAsia="Noto Sans CJK JP"/>
          <w:sz w:val="20"/>
        </w:rPr>
        <w:t>FAQ-ACC-0033</w:t>
      </w:r>
    </w:p>
    <w:p>
      <w:pPr>
        <w:pStyle w:val="ListBullet"/>
      </w:pPr>
      <w:r>
        <w:rPr>
          <w:rFonts w:ascii="Noto Sans CJK JP" w:hAnsi="Noto Sans CJK JP" w:eastAsia="Noto Sans CJK JP"/>
          <w:sz w:val="20"/>
        </w:rPr>
        <w:t>FAQ-ACC-0034</w:t>
      </w:r>
    </w:p>
    <w:p>
      <w:pPr>
        <w:pStyle w:val="ListBullet"/>
      </w:pPr>
      <w:r>
        <w:rPr>
          <w:rFonts w:ascii="Noto Sans CJK JP" w:hAnsi="Noto Sans CJK JP" w:eastAsia="Noto Sans CJK JP"/>
          <w:sz w:val="20"/>
        </w:rPr>
        <w:t>FAQ-ACC-0039</w:t>
      </w:r>
    </w:p>
    <w:p>
      <w:pPr>
        <w:pStyle w:val="ListBullet"/>
      </w:pPr>
      <w:r>
        <w:rPr>
          <w:rFonts w:ascii="Noto Sans CJK JP" w:hAnsi="Noto Sans CJK JP" w:eastAsia="Noto Sans CJK JP"/>
          <w:sz w:val="20"/>
        </w:rPr>
        <w:t>DIALOGUE-ACC-0013</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`14_FAQ/ACC/FAQ-ACC-0033.md`</w:t>
      </w:r>
    </w:p>
    <w:p>
      <w:pPr>
        <w:pStyle w:val="ListBullet"/>
      </w:pPr>
      <w:r>
        <w:rPr>
          <w:rFonts w:ascii="Noto Sans CJK JP" w:hAnsi="Noto Sans CJK JP" w:eastAsia="Noto Sans CJK JP"/>
          <w:sz w:val="20"/>
        </w:rPr>
        <w:t>`14_FAQ/ACC/FAQ-ACC-0034.md`</w:t>
      </w:r>
    </w:p>
    <w:p>
      <w:pPr>
        <w:pStyle w:val="ListBullet"/>
      </w:pPr>
      <w:r>
        <w:rPr>
          <w:rFonts w:ascii="Noto Sans CJK JP" w:hAnsi="Noto Sans CJK JP" w:eastAsia="Noto Sans CJK JP"/>
          <w:sz w:val="20"/>
        </w:rPr>
        <w:t>`14_FAQ/ACC/FAQ-ACC-0039.md`</w:t>
      </w:r>
    </w:p>
    <w:p>
      <w:pPr>
        <w:pStyle w:val="ListBullet"/>
      </w:pPr>
      <w:r>
        <w:rPr>
          <w:rFonts w:ascii="Noto Sans CJK JP" w:hAnsi="Noto Sans CJK JP" w:eastAsia="Noto Sans CJK JP"/>
          <w:sz w:val="20"/>
        </w:rPr>
        <w:t>`13_Dialogues/ACC/DIALOGUE-ACC-0013.md`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2026-07-03</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CASE-ACC-0014 - 請求完了後の結果確認と書類保管</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2026-07-03</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quinto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CASE-ACC-0014</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請求手続きが完了し、顧客へ結果通知と書類保管を案内する。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顧客が手続き完了後に通知や書類を捨ててもよいと考えている。</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請求完了後も支払通知、不支払通知、口座情報、提出書類を一定期間保管する。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結果通知を確認し、必要書類を整理して保管する。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Quando o procedimento terminar, vamos confirmar o resultado e guardar os documentos importantes.</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クアンド オ プロセジメント テルミナール、ヴァモス コンフィルマール オ ヘズウタード イ グアルダール オス ドクメントス インポルタンチス</w:t>
      </w:r>
    </w:p>
    <w:p/>
    <w:p>
      <w:r>
        <w:rPr>
          <w:rFonts w:ascii="Noto Sans CJK JP" w:hAnsi="Noto Sans CJK JP" w:eastAsia="Noto Sans CJK JP"/>
          <w:sz w:val="21"/>
        </w:rPr>
        <w:t>日本語確認用: 請求完了後も結果通知と書類保管を確認する。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結果通知、提出書類控え、口座情報、保険会社連絡履歴を確認する。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募集人は支払可否、支払金額、支払時期、補償、対象該当性、免責該当性を断定しない。最終判断は契約条件、事故状況、提出書類、公的制度および保険会社の査定による。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顧客が、正式通知、追加確認、必要書類、保管すべき資料を理解する。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ACC-0040</w:t>
      </w:r>
    </w:p>
    <w:p>
      <w:pPr>
        <w:pStyle w:val="ListBullet"/>
      </w:pPr>
      <w:r>
        <w:rPr>
          <w:rFonts w:ascii="Noto Sans CJK JP" w:hAnsi="Noto Sans CJK JP" w:eastAsia="Noto Sans CJK JP"/>
          <w:sz w:val="20"/>
        </w:rPr>
        <w:t>ACC-0031</w:t>
      </w:r>
    </w:p>
    <w:p>
      <w:pPr>
        <w:pStyle w:val="ListBullet"/>
      </w:pPr>
      <w:r>
        <w:rPr>
          <w:rFonts w:ascii="Noto Sans CJK JP" w:hAnsi="Noto Sans CJK JP" w:eastAsia="Noto Sans CJK JP"/>
          <w:sz w:val="20"/>
        </w:rPr>
        <w:t>ACC-0032</w:t>
      </w:r>
    </w:p>
    <w:p>
      <w:pPr>
        <w:pStyle w:val="ListBullet"/>
      </w:pPr>
      <w:r>
        <w:rPr>
          <w:rFonts w:ascii="Noto Sans CJK JP" w:hAnsi="Noto Sans CJK JP" w:eastAsia="Noto Sans CJK JP"/>
          <w:sz w:val="20"/>
        </w:rPr>
        <w:t>ACC-0038</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FAQ-ACC-0040</w:t>
      </w:r>
    </w:p>
    <w:p>
      <w:pPr>
        <w:pStyle w:val="ListBullet"/>
      </w:pPr>
      <w:r>
        <w:rPr>
          <w:rFonts w:ascii="Noto Sans CJK JP" w:hAnsi="Noto Sans CJK JP" w:eastAsia="Noto Sans CJK JP"/>
          <w:sz w:val="20"/>
        </w:rPr>
        <w:t>FAQ-ACC-0038</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DIALOGUE-ACC-0014</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ACC-0040</w:t>
      </w:r>
    </w:p>
    <w:p>
      <w:pPr>
        <w:pStyle w:val="ListBullet"/>
      </w:pPr>
      <w:r>
        <w:rPr>
          <w:rFonts w:ascii="Noto Sans CJK JP" w:hAnsi="Noto Sans CJK JP" w:eastAsia="Noto Sans CJK JP"/>
          <w:sz w:val="20"/>
        </w:rPr>
        <w:t>ACC-0031</w:t>
      </w:r>
    </w:p>
    <w:p>
      <w:pPr>
        <w:pStyle w:val="ListBullet"/>
      </w:pPr>
      <w:r>
        <w:rPr>
          <w:rFonts w:ascii="Noto Sans CJK JP" w:hAnsi="Noto Sans CJK JP" w:eastAsia="Noto Sans CJK JP"/>
          <w:sz w:val="20"/>
        </w:rPr>
        <w:t>ACC-0032</w:t>
      </w:r>
    </w:p>
    <w:p>
      <w:pPr>
        <w:pStyle w:val="ListBullet"/>
      </w:pPr>
      <w:r>
        <w:rPr>
          <w:rFonts w:ascii="Noto Sans CJK JP" w:hAnsi="Noto Sans CJK JP" w:eastAsia="Noto Sans CJK JP"/>
          <w:sz w:val="20"/>
        </w:rPr>
        <w:t>ACC-0038</w:t>
      </w:r>
    </w:p>
    <w:p>
      <w:pPr>
        <w:pStyle w:val="ListBullet"/>
      </w:pPr>
      <w:r>
        <w:rPr>
          <w:rFonts w:ascii="Noto Sans CJK JP" w:hAnsi="Noto Sans CJK JP" w:eastAsia="Noto Sans CJK JP"/>
          <w:sz w:val="20"/>
        </w:rPr>
        <w:t>FAQ-ACC-0040</w:t>
      </w:r>
    </w:p>
    <w:p>
      <w:pPr>
        <w:pStyle w:val="ListBullet"/>
      </w:pPr>
      <w:r>
        <w:rPr>
          <w:rFonts w:ascii="Noto Sans CJK JP" w:hAnsi="Noto Sans CJK JP" w:eastAsia="Noto Sans CJK JP"/>
          <w:sz w:val="20"/>
        </w:rPr>
        <w:t>FAQ-ACC-0038</w:t>
      </w:r>
    </w:p>
    <w:p>
      <w:pPr>
        <w:pStyle w:val="ListBullet"/>
      </w:pPr>
      <w:r>
        <w:rPr>
          <w:rFonts w:ascii="Noto Sans CJK JP" w:hAnsi="Noto Sans CJK JP" w:eastAsia="Noto Sans CJK JP"/>
          <w:sz w:val="20"/>
        </w:rPr>
        <w:t>DIALOGUE-ACC-0014</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`14_FAQ/ACC/FAQ-ACC-0040.md`</w:t>
      </w:r>
    </w:p>
    <w:p>
      <w:pPr>
        <w:pStyle w:val="ListBullet"/>
      </w:pPr>
      <w:r>
        <w:rPr>
          <w:rFonts w:ascii="Noto Sans CJK JP" w:hAnsi="Noto Sans CJK JP" w:eastAsia="Noto Sans CJK JP"/>
          <w:sz w:val="20"/>
        </w:rPr>
        <w:t>`14_FAQ/ACC/FAQ-ACC-0038.md`</w:t>
      </w:r>
    </w:p>
    <w:p>
      <w:pPr>
        <w:pStyle w:val="ListBullet"/>
      </w:pPr>
      <w:r>
        <w:rPr>
          <w:rFonts w:ascii="Noto Sans CJK JP" w:hAnsi="Noto Sans CJK JP" w:eastAsia="Noto Sans CJK JP"/>
          <w:sz w:val="20"/>
        </w:rPr>
        <w:t>`13_Dialogues/ACC/DIALOGUE-ACC-0014.md`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2026-07-03</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pPr>
        <w:pStyle w:val="Heading2"/>
      </w:pPr>
      <w:r>
        <w:rPr>
          <w:rFonts w:ascii="Noto Sans CJK JP" w:hAnsi="Noto Sans CJK JP" w:eastAsia="Noto Sans CJK JP"/>
          <w:b/>
          <w:color w:val="2F5496"/>
          <w:sz w:val="28"/>
        </w:rPr>
        <w:t>Referências</w:t>
      </w:r>
    </w:p>
    <w:p/>
    <w:p>
      <w:pPr>
        <w:pStyle w:val="ListBullet"/>
      </w:pPr>
      <w:r>
        <w:rPr>
          <w:rFonts w:ascii="Noto Sans CJK JP" w:hAnsi="Noto Sans CJK JP" w:eastAsia="Noto Sans CJK JP"/>
          <w:sz w:val="20"/>
        </w:rPr>
        <w:t>`15_CaseStudies/ACC/CASE-ACC-0011.md`</w:t>
      </w:r>
    </w:p>
    <w:p>
      <w:pPr>
        <w:pStyle w:val="ListBullet"/>
      </w:pPr>
      <w:r>
        <w:rPr>
          <w:rFonts w:ascii="Noto Sans CJK JP" w:hAnsi="Noto Sans CJK JP" w:eastAsia="Noto Sans CJK JP"/>
          <w:sz w:val="20"/>
        </w:rPr>
        <w:t>`15_CaseStudies/ACC/CASE-ACC-0012.md`</w:t>
      </w:r>
    </w:p>
    <w:p>
      <w:pPr>
        <w:pStyle w:val="ListBullet"/>
      </w:pPr>
      <w:r>
        <w:rPr>
          <w:rFonts w:ascii="Noto Sans CJK JP" w:hAnsi="Noto Sans CJK JP" w:eastAsia="Noto Sans CJK JP"/>
          <w:sz w:val="20"/>
        </w:rPr>
        <w:t>`15_CaseStudies/ACC/CASE-ACC-0013.md`</w:t>
      </w:r>
    </w:p>
    <w:p>
      <w:pPr>
        <w:pStyle w:val="ListBullet"/>
      </w:pPr>
      <w:r>
        <w:rPr>
          <w:rFonts w:ascii="Noto Sans CJK JP" w:hAnsi="Noto Sans CJK JP" w:eastAsia="Noto Sans CJK JP"/>
          <w:sz w:val="20"/>
        </w:rPr>
        <w:t>`15_CaseStudies/ACC/CASE-ACC-0014.md`</w:t>
      </w:r>
    </w:p>
    <w:p/>
    <w:p>
      <w:pPr>
        <w:pStyle w:val="Heading2"/>
      </w:pPr>
      <w:r>
        <w:rPr>
          <w:rFonts w:ascii="Noto Sans CJK JP" w:hAnsi="Noto Sans CJK JP" w:eastAsia="Noto Sans CJK JP"/>
          <w:b/>
          <w:color w:val="2F5496"/>
          <w:sz w:val="28"/>
        </w:rPr>
        <w:t>Veja também</w:t>
      </w:r>
    </w:p>
    <w:p/>
    <w:p>
      <w:pPr>
        <w:pStyle w:val="ListBullet"/>
      </w:pPr>
      <w:r>
        <w:rPr>
          <w:rFonts w:ascii="Noto Sans CJK JP" w:hAnsi="Noto Sans CJK JP" w:eastAsia="Noto Sans CJK JP"/>
          <w:sz w:val="20"/>
        </w:rPr>
        <w:t>`16_NotebookLM/ACC_INDEX_0001.md`</w:t>
      </w:r>
    </w:p>
    <w:p>
      <w:pPr>
        <w:pStyle w:val="ListBullet"/>
      </w:pPr>
      <w:r>
        <w:rPr>
          <w:rFonts w:ascii="Noto Sans CJK JP" w:hAnsi="Noto Sans CJK JP" w:eastAsia="Noto Sans CJK JP"/>
          <w:sz w:val="20"/>
        </w:rPr>
        <w:t>`16_NotebookLM/ACC_NOTEBOOKLM_PACK_0001.md`</w:t>
      </w:r>
    </w:p>
    <w:p>
      <w:pPr>
        <w:pStyle w:val="ListBullet"/>
      </w:pPr>
      <w:r>
        <w:rPr>
          <w:rFonts w:ascii="Noto Sans CJK JP" w:hAnsi="Noto Sans CJK JP" w:eastAsia="Noto Sans CJK JP"/>
          <w:sz w:val="20"/>
        </w:rPr>
        <w:t>`10_Accident/ACC_NAVIGATION_GUIDE.md`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JP-BR Insurance Knowledge 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