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VIDA_CASES_0009_0016 - Estudos de caso VIDA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com limite comercial/compliance.</w:t>
      </w:r>
    </w:p>
    <w:p/>
    <w:p>
      <w:pPr>
        <w:pStyle w:val="Heading2"/>
      </w:pPr>
      <w:r>
        <w:t>Conteúdo consolidado</w:t>
      </w:r>
    </w:p>
    <w:p/>
    <w:p>
      <w:pPr>
        <w:pStyle w:val="Heading1"/>
      </w:pPr>
      <w:r>
        <w:t>CASE-VIDA-0009 - Cliente quer cobertura para invalidez grave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CASE-VIDA-0009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quer cobertura para invalidez grave.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VIDA-0021 - 高度障害保険金 - Indenização por invalidez grave</w:t>
      </w:r>
    </w:p>
    <w:p>
      <w:pPr>
        <w:pStyle w:val="ListBullet"/>
      </w:pPr>
      <w:r>
        <w:t>VIDA-0036 - 保険金額 - Valor segurado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FAQ-VIDA-0021</w:t>
      </w:r>
    </w:p>
    <w:p>
      <w:pPr>
        <w:pStyle w:val="ListBullet"/>
      </w:pPr>
      <w:r>
        <w:t>FAQ-VIDA-0036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DIALOGUE-VIDA-0006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VIDA-0021</w:t>
      </w:r>
    </w:p>
    <w:p>
      <w:pPr>
        <w:pStyle w:val="ListBullet"/>
      </w:pPr>
      <w:r>
        <w:t>VIDA-0036</w:t>
      </w:r>
    </w:p>
    <w:p>
      <w:pPr>
        <w:pStyle w:val="ListBullet"/>
      </w:pPr>
      <w:r>
        <w:t>FAQ-VIDA-0021</w:t>
      </w:r>
    </w:p>
    <w:p>
      <w:pPr>
        <w:pStyle w:val="ListBullet"/>
      </w:pPr>
      <w:r>
        <w:t>FAQ-VIDA-0036</w:t>
      </w:r>
    </w:p>
    <w:p>
      <w:pPr>
        <w:pStyle w:val="ListBullet"/>
      </w:pPr>
      <w:r>
        <w:t>DIALOGUE-VIDA-0006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`14_FAQ/VIDA/FAQ-VIDA-0021.md`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CASE-VIDA-0010 - Cliente pergunta sobre câncer e três doenças graves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CASE-VIDA-0010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pergunta sobre câncer e três doenças graves.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VIDA-0022 - 三大疾病 - Três doenças graves</w:t>
      </w:r>
    </w:p>
    <w:p>
      <w:pPr>
        <w:pStyle w:val="ListBullet"/>
      </w:pPr>
      <w:r>
        <w:t>VIDA-0023 - がん診断給付金 - Benefício por diagnóstico de câncer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FAQ-VIDA-0022</w:t>
      </w:r>
    </w:p>
    <w:p>
      <w:pPr>
        <w:pStyle w:val="ListBullet"/>
      </w:pPr>
      <w:r>
        <w:t>FAQ-VIDA-0023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DIALOGUE-VIDA-0006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VIDA-0022</w:t>
      </w:r>
    </w:p>
    <w:p>
      <w:pPr>
        <w:pStyle w:val="ListBullet"/>
      </w:pPr>
      <w:r>
        <w:t>VIDA-0023</w:t>
      </w:r>
    </w:p>
    <w:p>
      <w:pPr>
        <w:pStyle w:val="ListBullet"/>
      </w:pPr>
      <w:r>
        <w:t>FAQ-VIDA-0022</w:t>
      </w:r>
    </w:p>
    <w:p>
      <w:pPr>
        <w:pStyle w:val="ListBullet"/>
      </w:pPr>
      <w:r>
        <w:t>FAQ-VIDA-0023</w:t>
      </w:r>
    </w:p>
    <w:p>
      <w:pPr>
        <w:pStyle w:val="ListBullet"/>
      </w:pPr>
      <w:r>
        <w:t>DIALOGUE-VIDA-0006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`14_FAQ/VIDA/FAQ-VIDA-0022.md`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CASE-VIDA-0011 - Cliente compara benefícios de internação, cirurgia e tratamento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CASE-VIDA-0011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compara benefícios de internação, cirurgia e tratamento.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VIDA-0024 - 入院給付金 - Benefício por internação</w:t>
      </w:r>
    </w:p>
    <w:p>
      <w:pPr>
        <w:pStyle w:val="ListBullet"/>
      </w:pPr>
      <w:r>
        <w:t>VIDA-0025 - 手術給付金 - Benefício por cirurgia</w:t>
      </w:r>
    </w:p>
    <w:p>
      <w:pPr>
        <w:pStyle w:val="ListBullet"/>
      </w:pPr>
      <w:r>
        <w:t>VIDA-0026 - 通院給付金 - Benefício por consulta ou tratamento ambulatorial</w:t>
      </w:r>
    </w:p>
    <w:p>
      <w:pPr>
        <w:pStyle w:val="ListBullet"/>
      </w:pPr>
      <w:r>
        <w:t>VIDA-0027 - 先進医療特約 - Cobertura adicional de tratamento médico avançado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FAQ-VIDA-0024</w:t>
      </w:r>
    </w:p>
    <w:p>
      <w:pPr>
        <w:pStyle w:val="ListBullet"/>
      </w:pPr>
      <w:r>
        <w:t>FAQ-VIDA-0025</w:t>
      </w:r>
    </w:p>
    <w:p>
      <w:pPr>
        <w:pStyle w:val="ListBullet"/>
      </w:pPr>
      <w:r>
        <w:t>FAQ-VIDA-0026</w:t>
      </w:r>
    </w:p>
    <w:p>
      <w:pPr>
        <w:pStyle w:val="ListBullet"/>
      </w:pPr>
      <w:r>
        <w:t>FAQ-VIDA-0027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DIALOGUE-VIDA-0007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VIDA-0024</w:t>
      </w:r>
    </w:p>
    <w:p>
      <w:pPr>
        <w:pStyle w:val="ListBullet"/>
      </w:pPr>
      <w:r>
        <w:t>VIDA-0025</w:t>
      </w:r>
    </w:p>
    <w:p>
      <w:pPr>
        <w:pStyle w:val="ListBullet"/>
      </w:pPr>
      <w:r>
        <w:t>VIDA-0026</w:t>
      </w:r>
    </w:p>
    <w:p>
      <w:pPr>
        <w:pStyle w:val="ListBullet"/>
      </w:pPr>
      <w:r>
        <w:t>VIDA-0027</w:t>
      </w:r>
    </w:p>
    <w:p>
      <w:pPr>
        <w:pStyle w:val="ListBullet"/>
      </w:pPr>
      <w:r>
        <w:t>FAQ-VIDA-0024</w:t>
      </w:r>
    </w:p>
    <w:p>
      <w:pPr>
        <w:pStyle w:val="ListBullet"/>
      </w:pPr>
      <w:r>
        <w:t>FAQ-VIDA-0025</w:t>
      </w:r>
    </w:p>
    <w:p>
      <w:pPr>
        <w:pStyle w:val="ListBullet"/>
      </w:pPr>
      <w:r>
        <w:t>FAQ-VIDA-0026</w:t>
      </w:r>
    </w:p>
    <w:p>
      <w:pPr>
        <w:pStyle w:val="ListBullet"/>
      </w:pPr>
      <w:r>
        <w:t>FAQ-VIDA-0027</w:t>
      </w:r>
    </w:p>
    <w:p>
      <w:pPr>
        <w:pStyle w:val="ListBullet"/>
      </w:pPr>
      <w:r>
        <w:t>DIALOGUE-VIDA-0007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`14_FAQ/VIDA/FAQ-VIDA-0024.md`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CASE-VIDA-0012 - Cliente quer proteção para doenças femininas, estilo de vida ou demência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CASE-VIDA-0012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quer proteção para doenças femininas, estilo de vida ou demência.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VIDA-0028 - 女性疾病特約 - Cobertura adicional para doenças femininas</w:t>
      </w:r>
    </w:p>
    <w:p>
      <w:pPr>
        <w:pStyle w:val="ListBullet"/>
      </w:pPr>
      <w:r>
        <w:t>VIDA-0029 - 生活習慣病 - Doenças relacionadas ao estilo de vida</w:t>
      </w:r>
    </w:p>
    <w:p>
      <w:pPr>
        <w:pStyle w:val="ListBullet"/>
      </w:pPr>
      <w:r>
        <w:t>VIDA-0030 - 介護保険 - Seguro de cuidados de longa duração</w:t>
      </w:r>
    </w:p>
    <w:p>
      <w:pPr>
        <w:pStyle w:val="ListBullet"/>
      </w:pPr>
      <w:r>
        <w:t>VIDA-0031 - 認知症保険 - Seguro para demência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FAQ-VIDA-0028</w:t>
      </w:r>
    </w:p>
    <w:p>
      <w:pPr>
        <w:pStyle w:val="ListBullet"/>
      </w:pPr>
      <w:r>
        <w:t>FAQ-VIDA-0029</w:t>
      </w:r>
    </w:p>
    <w:p>
      <w:pPr>
        <w:pStyle w:val="ListBullet"/>
      </w:pPr>
      <w:r>
        <w:t>FAQ-VIDA-0030</w:t>
      </w:r>
    </w:p>
    <w:p>
      <w:pPr>
        <w:pStyle w:val="ListBullet"/>
      </w:pPr>
      <w:r>
        <w:t>FAQ-VIDA-0031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DIALOGUE-VIDA-0008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VIDA-0028</w:t>
      </w:r>
    </w:p>
    <w:p>
      <w:pPr>
        <w:pStyle w:val="ListBullet"/>
      </w:pPr>
      <w:r>
        <w:t>VIDA-0029</w:t>
      </w:r>
    </w:p>
    <w:p>
      <w:pPr>
        <w:pStyle w:val="ListBullet"/>
      </w:pPr>
      <w:r>
        <w:t>VIDA-0030</w:t>
      </w:r>
    </w:p>
    <w:p>
      <w:pPr>
        <w:pStyle w:val="ListBullet"/>
      </w:pPr>
      <w:r>
        <w:t>VIDA-0031</w:t>
      </w:r>
    </w:p>
    <w:p>
      <w:pPr>
        <w:pStyle w:val="ListBullet"/>
      </w:pPr>
      <w:r>
        <w:t>FAQ-VIDA-0028</w:t>
      </w:r>
    </w:p>
    <w:p>
      <w:pPr>
        <w:pStyle w:val="ListBullet"/>
      </w:pPr>
      <w:r>
        <w:t>FAQ-VIDA-0029</w:t>
      </w:r>
    </w:p>
    <w:p>
      <w:pPr>
        <w:pStyle w:val="ListBullet"/>
      </w:pPr>
      <w:r>
        <w:t>FAQ-VIDA-0030</w:t>
      </w:r>
    </w:p>
    <w:p>
      <w:pPr>
        <w:pStyle w:val="ListBullet"/>
      </w:pPr>
      <w:r>
        <w:t>FAQ-VIDA-0031</w:t>
      </w:r>
    </w:p>
    <w:p>
      <w:pPr>
        <w:pStyle w:val="ListBullet"/>
      </w:pPr>
      <w:r>
        <w:t>DIALOGUE-VIDA-0008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`14_FAQ/VIDA/FAQ-VIDA-0028.md`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CASE-VIDA-0013 - Cliente quer preparar renda futura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CASE-VIDA-0013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quer preparar renda futura.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VIDA-0032 - 年金保険 - Seguro de renda ou aposentadoria</w:t>
      </w:r>
    </w:p>
    <w:p>
      <w:pPr>
        <w:pStyle w:val="ListBullet"/>
      </w:pPr>
      <w:r>
        <w:t>VIDA-0033 - 個人年金保険 - Seguro de previdência individual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FAQ-VIDA-0032</w:t>
      </w:r>
    </w:p>
    <w:p>
      <w:pPr>
        <w:pStyle w:val="ListBullet"/>
      </w:pPr>
      <w:r>
        <w:t>FAQ-VIDA-0033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DIALOGUE-VIDA-0009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VIDA-0032</w:t>
      </w:r>
    </w:p>
    <w:p>
      <w:pPr>
        <w:pStyle w:val="ListBullet"/>
      </w:pPr>
      <w:r>
        <w:t>VIDA-0033</w:t>
      </w:r>
    </w:p>
    <w:p>
      <w:pPr>
        <w:pStyle w:val="ListBullet"/>
      </w:pPr>
      <w:r>
        <w:t>FAQ-VIDA-0032</w:t>
      </w:r>
    </w:p>
    <w:p>
      <w:pPr>
        <w:pStyle w:val="ListBullet"/>
      </w:pPr>
      <w:r>
        <w:t>FAQ-VIDA-0033</w:t>
      </w:r>
    </w:p>
    <w:p>
      <w:pPr>
        <w:pStyle w:val="ListBullet"/>
      </w:pPr>
      <w:r>
        <w:t>DIALOGUE-VIDA-0009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`14_FAQ/VIDA/FAQ-VIDA-0032.md`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CASE-VIDA-0014 - Família quer planejar educação dos filhos e renda familiar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CASE-VIDA-0014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Família quer planejar educação dos filhos e renda familiar.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VIDA-0034 - 学資保険 - Seguro educacional</w:t>
      </w:r>
    </w:p>
    <w:p>
      <w:pPr>
        <w:pStyle w:val="ListBullet"/>
      </w:pPr>
      <w:r>
        <w:t>VIDA-0035 - 収入保障保険 - Seguro de garantia de renda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FAQ-VIDA-0034</w:t>
      </w:r>
    </w:p>
    <w:p>
      <w:pPr>
        <w:pStyle w:val="ListBullet"/>
      </w:pPr>
      <w:r>
        <w:t>FAQ-VIDA-0035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DIALOGUE-VIDA-0009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VIDA-0034</w:t>
      </w:r>
    </w:p>
    <w:p>
      <w:pPr>
        <w:pStyle w:val="ListBullet"/>
      </w:pPr>
      <w:r>
        <w:t>VIDA-0035</w:t>
      </w:r>
    </w:p>
    <w:p>
      <w:pPr>
        <w:pStyle w:val="ListBullet"/>
      </w:pPr>
      <w:r>
        <w:t>FAQ-VIDA-0034</w:t>
      </w:r>
    </w:p>
    <w:p>
      <w:pPr>
        <w:pStyle w:val="ListBullet"/>
      </w:pPr>
      <w:r>
        <w:t>FAQ-VIDA-0035</w:t>
      </w:r>
    </w:p>
    <w:p>
      <w:pPr>
        <w:pStyle w:val="ListBullet"/>
      </w:pPr>
      <w:r>
        <w:t>DIALOGUE-VIDA-0009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`14_FAQ/VIDA/FAQ-VIDA-0034.md`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CASE-VIDA-0015 - Cliente não sabe qual valor segurado escolher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CASE-VIDA-0015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Cliente não sabe qual valor segurado escolher.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VIDA-0036 - 保険金額 - Valor segurado</w:t>
      </w:r>
    </w:p>
    <w:p>
      <w:pPr>
        <w:pStyle w:val="ListBullet"/>
      </w:pPr>
      <w:r>
        <w:t>VIDA-0037 - 必要保障額 - Valor necessário de proteção</w:t>
      </w:r>
    </w:p>
    <w:p>
      <w:pPr>
        <w:pStyle w:val="ListBullet"/>
      </w:pPr>
      <w:r>
        <w:t>VIDA-0038 - ライフプラン - Planejamento de vida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FAQ-VIDA-0036</w:t>
      </w:r>
    </w:p>
    <w:p>
      <w:pPr>
        <w:pStyle w:val="ListBullet"/>
      </w:pPr>
      <w:r>
        <w:t>FAQ-VIDA-0037</w:t>
      </w:r>
    </w:p>
    <w:p>
      <w:pPr>
        <w:pStyle w:val="ListBullet"/>
      </w:pPr>
      <w:r>
        <w:t>FAQ-VIDA-0038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DIALOGUE-VIDA-0010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VIDA-0036</w:t>
      </w:r>
    </w:p>
    <w:p>
      <w:pPr>
        <w:pStyle w:val="ListBullet"/>
      </w:pPr>
      <w:r>
        <w:t>VIDA-0037</w:t>
      </w:r>
    </w:p>
    <w:p>
      <w:pPr>
        <w:pStyle w:val="ListBullet"/>
      </w:pPr>
      <w:r>
        <w:t>VIDA-0038</w:t>
      </w:r>
    </w:p>
    <w:p>
      <w:pPr>
        <w:pStyle w:val="ListBullet"/>
      </w:pPr>
      <w:r>
        <w:t>FAQ-VIDA-0036</w:t>
      </w:r>
    </w:p>
    <w:p>
      <w:pPr>
        <w:pStyle w:val="ListBullet"/>
      </w:pPr>
      <w:r>
        <w:t>FAQ-VIDA-0037</w:t>
      </w:r>
    </w:p>
    <w:p>
      <w:pPr>
        <w:pStyle w:val="ListBullet"/>
      </w:pPr>
      <w:r>
        <w:t>FAQ-VIDA-0038</w:t>
      </w:r>
    </w:p>
    <w:p>
      <w:pPr>
        <w:pStyle w:val="ListBullet"/>
      </w:pPr>
      <w:r>
        <w:t>DIALOGUE-VIDA-0010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`14_FAQ/VIDA/FAQ-VIDA-0036.md`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CASE-VIDA-0016 - Casamento, nascimento de filho ou compra de casa exige revisão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CASE-VIDA-0016</w:t>
      </w:r>
    </w:p>
    <w:p/>
    <w:p>
      <w:pPr>
        <w:pStyle w:val="Heading2"/>
      </w:pPr>
      <w:r>
        <w:t>Produto ou categoria</w:t>
      </w:r>
    </w:p>
    <w:p/>
    <w:p>
      <w:r>
        <w:t>VIDA</w:t>
      </w:r>
    </w:p>
    <w:p/>
    <w:p>
      <w:pPr>
        <w:pStyle w:val="Heading2"/>
      </w:pPr>
      <w:r>
        <w:t>Situação</w:t>
      </w:r>
    </w:p>
    <w:p/>
    <w:p>
      <w:r>
        <w:t>Casamento, nascimento de filho ou compra de casa exige revisão.</w:t>
      </w:r>
    </w:p>
    <w:p/>
    <w:p>
      <w:pPr>
        <w:pStyle w:val="Heading2"/>
      </w:pPr>
      <w:r>
        <w:t>Problema</w:t>
      </w:r>
    </w:p>
    <w:p/>
    <w:p>
      <w:r>
        <w:t>Cliente pode escolher cobertura inadequada por não relacionar doença, renda, família e objetivos futuros.</w:t>
      </w:r>
    </w:p>
    <w:p/>
    <w:p>
      <w:pPr>
        <w:pStyle w:val="Heading2"/>
      </w:pPr>
      <w:r>
        <w:t>Análise</w:t>
      </w:r>
    </w:p>
    <w:p/>
    <w:p>
      <w:r>
        <w:t>A decisão deve considerar finalidade da proteção, valor segurado, orçamento, idade, saúde, família e eventos de vida.</w:t>
      </w:r>
    </w:p>
    <w:p/>
    <w:p>
      <w:pPr>
        <w:pStyle w:val="Heading2"/>
      </w:pPr>
      <w:r>
        <w:t>Orientação ao corretor</w:t>
      </w:r>
    </w:p>
    <w:p/>
    <w:p>
      <w:r>
        <w:t>Organizar a necessidade antes de apresentar produto. Separar proteção, renda futura, saúde e educação.</w:t>
      </w:r>
    </w:p>
    <w:p/>
    <w:p>
      <w:pPr>
        <w:pStyle w:val="Heading2"/>
      </w:pPr>
      <w:r>
        <w:t>Como explicar ao cliente brasileiro</w:t>
      </w:r>
    </w:p>
    <w:p/>
    <w:p>
      <w:r>
        <w:t>Vamos escolher a cobertura pensando na sua família, renda e planos, não apenas no nome do produto.</w:t>
      </w:r>
    </w:p>
    <w:p/>
    <w:p>
      <w:pPr>
        <w:pStyle w:val="Heading2"/>
      </w:pPr>
      <w:r>
        <w:t>Resultado esperado</w:t>
      </w:r>
    </w:p>
    <w:p/>
    <w:p>
      <w:r>
        <w:t>Cliente entende a finalidade de cada cobertura e consegue revisar ou contratar com critério.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aceitação, cobertura, valor de indenização, prazo, benefício fiscal, manutenção de contrato ou resultado de análise. A decisão final depende da apólice, declaração de saúde, documentos, situação familiar, regras fiscais quando aplicáveis e avaliação da seguradora ou órgão competente.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VIDA-0039 - 見直し - Revisão do seguro de vida</w:t>
      </w:r>
    </w:p>
    <w:p>
      <w:pPr>
        <w:pStyle w:val="ListBullet"/>
      </w:pPr>
      <w:r>
        <w:t>VIDA-0040 - ライフイベント - Evento de vida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FAQ-VIDA-0039</w:t>
      </w:r>
    </w:p>
    <w:p>
      <w:pPr>
        <w:pStyle w:val="ListBullet"/>
      </w:pPr>
      <w:r>
        <w:t>FAQ-VIDA-0040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DIALOGUE-VIDA-0010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VIDA-0039</w:t>
      </w:r>
    </w:p>
    <w:p>
      <w:pPr>
        <w:pStyle w:val="ListBullet"/>
      </w:pPr>
      <w:r>
        <w:t>VIDA-0040</w:t>
      </w:r>
    </w:p>
    <w:p>
      <w:pPr>
        <w:pStyle w:val="ListBullet"/>
      </w:pPr>
      <w:r>
        <w:t>FAQ-VIDA-0039</w:t>
      </w:r>
    </w:p>
    <w:p>
      <w:pPr>
        <w:pStyle w:val="ListBullet"/>
      </w:pPr>
      <w:r>
        <w:t>FAQ-VIDA-0040</w:t>
      </w:r>
    </w:p>
    <w:p>
      <w:pPr>
        <w:pStyle w:val="ListBullet"/>
      </w:pPr>
      <w:r>
        <w:t>DIALOGUE-VIDA-0010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`EDITORIAL_RULES.md`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vida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`14_FAQ/VIDA/FAQ-VIDA-0039.md`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Regeneração do pacote com normalização de compliance dos estudos de caso VIDA.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