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MED_CASES_0017_0024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CASE-MED-0017 - Cliente acha que proposta enviada já garante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CASE-MED-0017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acha que proposta enviada já garante cobertura.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CASE-MED-0018 - Cliente confunde contratante e segurado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CASE-MED-0018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confunde contratante e segurado.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MED-0045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FAQ-MED-0045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MED-0045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CASE-MED-0019 - Cliente omite informação no questionário de saúde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CASE-MED-0019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omite informação no questionário de saúde.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CASE-MED-0020 - Cliente recebe pedido de exame médico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CASE-MED-0020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recebe pedido de exame médico.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MED-0049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FAQ-MED-0049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MED-0049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CASE-MED-0021 - Cliente recebe aceitação com condição especial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CASE-MED-0021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recebe aceitação com condição especial.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CASE-MED-0022 - Cliente não entende exclusão de doença específica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CASE-MED-0022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não entende exclusão de doença específica.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MED-0053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FAQ-MED-0053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MED-0053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CASE-MED-0023 - Cliente tem contratação recusada ou adiada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CASE-MED-0023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tem contratação recusada ou adiada.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DIALOGUE-MED-0014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CASE-MED-0024 - Cliente quer alterar contrato recém emitido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CASE-MED-0024</w:t>
      </w:r>
    </w:p>
    <w:p>
      <w:pPr>
        <w:pStyle w:val="Heading2"/>
      </w:pPr>
      <w:r>
        <w:t>Produto ou categoria</w:t>
      </w:r>
    </w:p>
    <w:p>
      <w:r>
        <w:t>MED</w:t>
      </w:r>
    </w:p>
    <w:p>
      <w:pPr>
        <w:pStyle w:val="Heading2"/>
      </w:pPr>
      <w:r>
        <w:t>Situação</w:t>
      </w:r>
    </w:p>
    <w:p>
      <w:r>
        <w:t>Cliente quer alterar contrato recém emitido.</w:t>
      </w:r>
    </w:p>
    <w:p>
      <w:pPr>
        <w:pStyle w:val="Heading2"/>
      </w:pPr>
      <w:r>
        <w:t>Problema</w:t>
      </w:r>
    </w:p>
    <w:p>
      <w:r>
        <w:t>Cliente pode confundir proposta, aceitação, início de contrato, condição especial ou alteração posterior.</w:t>
      </w:r>
    </w:p>
    <w:p>
      <w:pPr>
        <w:pStyle w:val="Heading2"/>
      </w:pPr>
      <w:r>
        <w:t>Análise</w:t>
      </w:r>
    </w:p>
    <w:p>
      <w:r>
        <w:t>A contratação de seguro médico exige declaração correta, análise da seguradora e confirmação formal das condições aceitas.</w:t>
      </w:r>
    </w:p>
    <w:p>
      <w:pPr>
        <w:pStyle w:val="Heading2"/>
      </w:pPr>
      <w:r>
        <w:t>Orientação ao corretor</w:t>
      </w:r>
    </w:p>
    <w:p>
      <w:r>
        <w:t>Explicar cada etapa sem prometer aprovação, registrar dúvidas do cliente e conferir documentos antes do envio.</w:t>
      </w:r>
    </w:p>
    <w:p>
      <w:pPr>
        <w:pStyle w:val="Heading2"/>
      </w:pPr>
      <w:r>
        <w:t>Como explicar ao cliente brasileiro</w:t>
      </w:r>
    </w:p>
    <w:p>
      <w:r>
        <w:t>Enviar a proposta não significa aprovação automática. Vamos aguardar a análise e conferir a resposta formal da seguradora.</w:t>
      </w:r>
    </w:p>
    <w:p>
      <w:pPr>
        <w:pStyle w:val="Heading2"/>
      </w:pPr>
      <w:r>
        <w:t>Resultado esperado</w:t>
      </w:r>
    </w:p>
    <w:p>
      <w:r>
        <w:t>Cliente entende o processo de aceitação e decide com clareza sobre condições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DIALOGUE-MED-0015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DIALOGUE-MED-0015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`13_Dialogues/MED/DIALOGUE-MED-0014.md`</w:t>
      </w:r>
    </w:p>
    <w:p>
      <w:pPr>
        <w:pStyle w:val="ListBullet"/>
      </w:pPr>
      <w:r>
        <w:t>`13_Dialogues/MED/DIALOGUE-MED-0015.md`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