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:rsidR="0018691F" w:rsidRDefault="00B87000">
      <w:pPr>
        <w:spacing w:before="0" w:line="240" w:lineRule="auto"/>
        <w:rPr>
          <w:rFonts w:ascii="Oswald" w:eastAsia="Oswald" w:hAnsi="Oswald" w:cs="Oswald"/>
          <w:b/>
          <w:color w:val="5BB7E7"/>
          <w:sz w:val="28"/>
          <w:szCs w:val="28"/>
        </w:rPr>
      </w:pPr>
      <w:r>
        <w:rPr>
          <w:rFonts w:ascii="Oswald" w:eastAsia="Oswald" w:hAnsi="Oswald" w:cs="Oswald"/>
          <w:b/>
          <w:color w:val="5BB7E7"/>
          <w:sz w:val="28"/>
          <w:szCs w:val="28"/>
        </w:rPr>
        <w:t>OPEN SOURCE COMPLIANCE</w:t>
      </w:r>
    </w:p>
    <w:p w:rsidR="0018691F" w:rsidRPr="0047686B" w:rsidRDefault="00B87000">
      <w:pPr>
        <w:pStyle w:val="Titel"/>
        <w:keepNext w:val="0"/>
        <w:keepLines w:val="0"/>
        <w:contextualSpacing w:val="0"/>
        <w:rPr>
          <w:rFonts w:ascii="Verdana" w:hAnsi="Verdana"/>
          <w:color w:val="E31C60"/>
          <w:sz w:val="28"/>
          <w:szCs w:val="42"/>
        </w:rPr>
      </w:pPr>
      <w:bookmarkStart w:id="0" w:name="_lntg56ljm653" w:colFirst="0" w:colLast="0"/>
      <w:bookmarkEnd w:id="0"/>
      <w:r w:rsidRPr="0047686B">
        <w:rPr>
          <w:rFonts w:ascii="Verdana" w:hAnsi="Verdana"/>
          <w:color w:val="E31C60"/>
          <w:sz w:val="28"/>
          <w:szCs w:val="42"/>
        </w:rPr>
        <w:t>Empfohlene V</w:t>
      </w:r>
      <w:bookmarkStart w:id="1" w:name="_GoBack"/>
      <w:bookmarkEnd w:id="1"/>
      <w:r w:rsidRPr="0047686B">
        <w:rPr>
          <w:rFonts w:ascii="Verdana" w:hAnsi="Verdana"/>
          <w:color w:val="E31C60"/>
          <w:sz w:val="28"/>
          <w:szCs w:val="42"/>
        </w:rPr>
        <w:t>orgehensweisen für Compliance Professionals</w:t>
      </w:r>
    </w:p>
    <w:p w:rsidR="0018691F" w:rsidRDefault="00B87000">
      <w:pPr>
        <w:spacing w:before="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2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000" w:rsidRDefault="0047686B">
      <w:pPr>
        <w:numPr>
          <w:ilvl w:val="0"/>
          <w:numId w:val="1"/>
        </w:numPr>
        <w:ind w:hanging="360"/>
        <w:contextualSpacing/>
      </w:pPr>
      <w:r>
        <w:t>Compliance wird auf Einzel-Produkt-Basis überprüft: Wenn eine Open-Source-Komponente zur Benutzung in einem Produkt freigegeben ist, bedeutet das nicht zwangsweise, dass damit eine Vorab-Freigabe für die Nutzung in anderen Produkten vorliegt.</w:t>
      </w:r>
    </w:p>
    <w:p w:rsidR="0047686B" w:rsidRDefault="0047686B">
      <w:pPr>
        <w:numPr>
          <w:ilvl w:val="0"/>
          <w:numId w:val="1"/>
        </w:numPr>
        <w:ind w:hanging="360"/>
        <w:contextualSpacing/>
      </w:pPr>
      <w:r>
        <w:t>Jeder Sourcecode muss frühestmöglich und oft gescannt werden. Damit können Compliance-Probleme mit deren Auftreten identifiziert, Lösungen dafür mit akzeptablem Zeitverzug bereitgestellt und ein inkrementeller Compliance-Aufbau ermöglicht werden</w:t>
      </w:r>
    </w:p>
    <w:p w:rsidR="0047686B" w:rsidRDefault="0047686B" w:rsidP="0047686B">
      <w:pPr>
        <w:numPr>
          <w:ilvl w:val="0"/>
          <w:numId w:val="1"/>
        </w:numPr>
        <w:ind w:left="1418" w:hanging="338"/>
        <w:contextualSpacing/>
      </w:pPr>
      <w:r>
        <w:t>A</w:t>
      </w:r>
      <w:r w:rsidRPr="0047686B">
        <w:t xml:space="preserve">lle Dateien oder Snippets, die vom Scan-Tool gekennzeichnet </w:t>
      </w:r>
      <w:r>
        <w:t>werden, müssen geprüft und (problem-)behandelt werden.</w:t>
      </w:r>
    </w:p>
    <w:p w:rsidR="0047686B" w:rsidRDefault="0047686B" w:rsidP="0047686B">
      <w:pPr>
        <w:numPr>
          <w:ilvl w:val="0"/>
          <w:numId w:val="1"/>
        </w:numPr>
        <w:ind w:left="1418" w:hanging="338"/>
        <w:contextualSpacing/>
      </w:pPr>
      <w:r>
        <w:t>Im Zweifelsfall müssen die Scanergebnisse mit der Entwicklung diskutiert werden.</w:t>
      </w:r>
    </w:p>
    <w:p w:rsidR="0047686B" w:rsidRDefault="0047686B" w:rsidP="0047686B">
      <w:pPr>
        <w:numPr>
          <w:ilvl w:val="0"/>
          <w:numId w:val="1"/>
        </w:numPr>
        <w:ind w:left="1418" w:hanging="338"/>
        <w:contextualSpacing/>
      </w:pPr>
      <w:r>
        <w:t>A</w:t>
      </w:r>
      <w:r w:rsidRPr="0047686B">
        <w:t xml:space="preserve">lle im Produkt enthaltenen Komponenten und Snippets, deren Herkunft und </w:t>
      </w:r>
      <w:r>
        <w:t>L</w:t>
      </w:r>
      <w:r w:rsidRPr="0047686B">
        <w:t>izenzen</w:t>
      </w:r>
      <w:r>
        <w:t xml:space="preserve"> sind zu identifizieren</w:t>
      </w:r>
      <w:r w:rsidRPr="0047686B">
        <w:t>.</w:t>
      </w:r>
    </w:p>
    <w:p w:rsidR="0047686B" w:rsidRDefault="0047686B" w:rsidP="0047686B">
      <w:pPr>
        <w:numPr>
          <w:ilvl w:val="0"/>
          <w:numId w:val="1"/>
        </w:numPr>
        <w:ind w:hanging="360"/>
        <w:contextualSpacing/>
      </w:pPr>
      <w:r>
        <w:t>N</w:t>
      </w:r>
      <w:r w:rsidRPr="0047686B">
        <w:t xml:space="preserve">euere Versionen </w:t>
      </w:r>
      <w:r>
        <w:t xml:space="preserve">von </w:t>
      </w:r>
      <w:r w:rsidRPr="0047686B">
        <w:t xml:space="preserve">früher </w:t>
      </w:r>
      <w:r>
        <w:t>freigegebenen</w:t>
      </w:r>
      <w:r w:rsidRPr="0047686B">
        <w:t xml:space="preserve"> Pakete</w:t>
      </w:r>
      <w:r>
        <w:t>n sollten erneut gescannt werden</w:t>
      </w:r>
      <w:r w:rsidRPr="0047686B">
        <w:t>.</w:t>
      </w:r>
    </w:p>
    <w:p w:rsidR="0018691F" w:rsidRDefault="0047686B" w:rsidP="0047686B">
      <w:pPr>
        <w:numPr>
          <w:ilvl w:val="0"/>
          <w:numId w:val="1"/>
        </w:numPr>
        <w:ind w:hanging="360"/>
        <w:contextualSpacing/>
      </w:pPr>
      <w:r>
        <w:t xml:space="preserve">Wenn das Scan-Tool GPL-lizensierten Quellcode erkennt, der (zum Beispiel) in eine proprietäre Komponente integriert ist, melden Sie es an </w:t>
      </w:r>
      <w:r>
        <w:t>die Entwicklung</w:t>
      </w:r>
      <w:r>
        <w:t xml:space="preserve"> und fordern Sie eine Korrektur </w:t>
      </w:r>
      <w:r>
        <w:t>ei</w:t>
      </w:r>
      <w:r>
        <w:t xml:space="preserve">n. Scannen Sie den Code erneut, nachdem </w:t>
      </w:r>
      <w:r>
        <w:t>die Entwicklung</w:t>
      </w:r>
      <w:r>
        <w:t xml:space="preserve"> das Problem gelöst hat, um eine </w:t>
      </w:r>
      <w:r>
        <w:t>gesicherte</w:t>
      </w:r>
      <w:r>
        <w:t xml:space="preserve"> Bestätigung zu erhalten, dass der GPL-Code ersetzt wurde.</w:t>
      </w:r>
    </w:p>
    <w:p w:rsidR="0018691F" w:rsidRDefault="0047686B" w:rsidP="0047686B">
      <w:pPr>
        <w:numPr>
          <w:ilvl w:val="0"/>
          <w:numId w:val="1"/>
        </w:numPr>
        <w:contextualSpacing/>
      </w:pPr>
      <w:r>
        <w:t>In Vorbereitung einer rechtlichen Prüfung sind der Rechtabteilung alle Lizenzinformationen bereitzustellen, die in der Komponente festgestellt wurden. Für Open-Source-Komponenten umfasst dies auch die COPYING-, README-, oder LICENSE-Dateien.</w:t>
      </w:r>
    </w:p>
    <w:p w:rsidR="0047686B" w:rsidRDefault="0047686B">
      <w:pPr>
        <w:numPr>
          <w:ilvl w:val="0"/>
          <w:numId w:val="1"/>
        </w:numPr>
        <w:ind w:hanging="360"/>
        <w:contextualSpacing/>
      </w:pPr>
      <w:r>
        <w:t>Falls Konflikte existieren oder eine Compliance-Erfüllung nicht möglich ist:</w:t>
      </w:r>
    </w:p>
    <w:p w:rsidR="0047686B" w:rsidRDefault="0047686B" w:rsidP="0047686B">
      <w:pPr>
        <w:numPr>
          <w:ilvl w:val="1"/>
          <w:numId w:val="1"/>
        </w:numPr>
        <w:ind w:hanging="306"/>
        <w:contextualSpacing/>
      </w:pPr>
      <w:r>
        <w:t>Entfernen / Austauschen: Kann das Produkt ohne den fraglichen Code leben? Gibt es ein alternatives Projekt mit gleicher Funktion unter einer anderen Lizenz?</w:t>
      </w:r>
    </w:p>
    <w:p w:rsidR="0047686B" w:rsidRDefault="0047686B" w:rsidP="0047686B">
      <w:pPr>
        <w:numPr>
          <w:ilvl w:val="1"/>
          <w:numId w:val="1"/>
        </w:numPr>
        <w:ind w:hanging="306"/>
        <w:contextualSpacing/>
      </w:pPr>
      <w:r>
        <w:t>Neuentwicklung: Kann eine Umgehungslösung geschaffen werden?</w:t>
      </w:r>
    </w:p>
    <w:p w:rsidR="0047686B" w:rsidRDefault="0047686B" w:rsidP="0047686B">
      <w:pPr>
        <w:numPr>
          <w:ilvl w:val="1"/>
          <w:numId w:val="1"/>
        </w:numPr>
        <w:ind w:hanging="306"/>
        <w:contextualSpacing/>
      </w:pPr>
      <w:r>
        <w:t>Versions-Tracking: Gibt es eine neue (oder ältere) Version des fraglichen Codes unter einer anderen Lizenz?</w:t>
      </w:r>
    </w:p>
    <w:p w:rsidR="0047686B" w:rsidRDefault="0047686B" w:rsidP="0047686B">
      <w:pPr>
        <w:numPr>
          <w:ilvl w:val="1"/>
          <w:numId w:val="1"/>
        </w:numPr>
        <w:ind w:hanging="306"/>
        <w:contextualSpacing/>
      </w:pPr>
      <w:r>
        <w:t>Neulizenzierung: Können die Autoren mit der Bitte um eine andere Lizenzierung kontaktiert werden?</w:t>
      </w:r>
    </w:p>
    <w:p w:rsidR="0018691F" w:rsidRDefault="0047686B" w:rsidP="0047686B">
      <w:pPr>
        <w:numPr>
          <w:ilvl w:val="0"/>
          <w:numId w:val="1"/>
        </w:numPr>
        <w:ind w:hanging="360"/>
        <w:contextualSpacing/>
      </w:pPr>
      <w:r>
        <w:t>Das schriftliche Angebot und die Open-Source-Hinweise müssen präzise abgefasst werden und müssen jegliche im Produkt enthaltene Open Source einbeziehen.</w:t>
      </w:r>
    </w:p>
    <w:sectPr w:rsidR="0018691F">
      <w:footerReference w:type="default" r:id="rId8"/>
      <w:pgSz w:w="12240" w:h="15840"/>
      <w:pgMar w:top="1080" w:right="108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7CA" w:rsidRDefault="00DE27CA">
      <w:pPr>
        <w:spacing w:before="0" w:line="240" w:lineRule="auto"/>
      </w:pPr>
      <w:r>
        <w:separator/>
      </w:r>
    </w:p>
  </w:endnote>
  <w:endnote w:type="continuationSeparator" w:id="0">
    <w:p w:rsidR="00DE27CA" w:rsidRDefault="00DE27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Source Code Pr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91F" w:rsidRDefault="00B87000">
    <w:r>
      <w:t xml:space="preserve">Ibrahim Haddad, </w:t>
    </w:r>
    <w:proofErr w:type="spellStart"/>
    <w:r>
      <w:t>Ph.D</w:t>
    </w:r>
    <w:proofErr w:type="spellEnd"/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color w:val="5BB7E7"/>
      </w:rPr>
      <w:t>Twitter:</w:t>
    </w:r>
    <w:r>
      <w:rPr>
        <w:b/>
      </w:rPr>
      <w:t xml:space="preserve"> </w:t>
    </w:r>
    <w:r>
      <w:t>@</w:t>
    </w:r>
    <w:proofErr w:type="spellStart"/>
    <w:r>
      <w:t>IbrahimAtLinux</w:t>
    </w:r>
    <w:proofErr w:type="spellEnd"/>
  </w:p>
  <w:p w:rsidR="0047686B" w:rsidRDefault="0047686B">
    <w:r>
      <w:t xml:space="preserve">(German </w:t>
    </w:r>
    <w:proofErr w:type="spellStart"/>
    <w:r>
      <w:t>translation</w:t>
    </w:r>
    <w:proofErr w:type="spellEnd"/>
    <w:r>
      <w:t>: Stefan Thanheiser, stefan.thanheiser@fiduciagad.de)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7CA" w:rsidRDefault="00DE27CA">
      <w:pPr>
        <w:spacing w:before="0" w:line="240" w:lineRule="auto"/>
      </w:pPr>
      <w:r>
        <w:separator/>
      </w:r>
    </w:p>
  </w:footnote>
  <w:footnote w:type="continuationSeparator" w:id="0">
    <w:p w:rsidR="00DE27CA" w:rsidRDefault="00DE27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4F3C"/>
    <w:multiLevelType w:val="multilevel"/>
    <w:tmpl w:val="FC20F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F"/>
    <w:rsid w:val="0018691F"/>
    <w:rsid w:val="0047686B"/>
    <w:rsid w:val="005C6E02"/>
    <w:rsid w:val="00B87000"/>
    <w:rsid w:val="00D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B045"/>
  <w15:docId w15:val="{1FF63BD9-19F2-4E1B-8CDE-B1309B75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line="240" w:lineRule="auto"/>
      <w:contextualSpacing/>
      <w:outlineLvl w:val="0"/>
    </w:pPr>
    <w:rPr>
      <w:rFonts w:ascii="Oswald" w:eastAsia="Oswald" w:hAnsi="Oswald" w:cs="Oswald"/>
      <w:color w:val="424242"/>
      <w:sz w:val="28"/>
      <w:szCs w:val="28"/>
    </w:rPr>
  </w:style>
  <w:style w:type="paragraph" w:styleId="berschrift2">
    <w:name w:val="heading 2"/>
    <w:basedOn w:val="Standard"/>
    <w:next w:val="Standard"/>
    <w:pPr>
      <w:keepNext/>
      <w:keepLines/>
      <w:spacing w:before="320" w:line="240" w:lineRule="auto"/>
      <w:contextualSpacing/>
      <w:outlineLvl w:val="1"/>
    </w:pPr>
    <w:rPr>
      <w:rFonts w:ascii="Source Code Pro" w:eastAsia="Source Code Pro" w:hAnsi="Source Code Pro" w:cs="Source Code Pro"/>
      <w:b/>
      <w:color w:val="E31C60"/>
    </w:rPr>
  </w:style>
  <w:style w:type="paragraph" w:styleId="berschrift3">
    <w:name w:val="heading 3"/>
    <w:basedOn w:val="Standard"/>
    <w:next w:val="Standard"/>
    <w:pPr>
      <w:keepNext/>
      <w:keepLines/>
      <w:spacing w:before="320" w:line="360" w:lineRule="auto"/>
      <w:contextualSpacing/>
      <w:outlineLvl w:val="2"/>
    </w:pPr>
    <w:rPr>
      <w:rFonts w:ascii="Oswald" w:eastAsia="Oswald" w:hAnsi="Oswald" w:cs="Oswald"/>
      <w:color w:val="424242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0" w:line="240" w:lineRule="auto"/>
      <w:contextualSpacing/>
    </w:pPr>
    <w:rPr>
      <w:rFonts w:ascii="Oswald" w:eastAsia="Oswald" w:hAnsi="Oswald" w:cs="Oswald"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120"/>
      <w:contextualSpacing/>
    </w:pPr>
    <w:rPr>
      <w:rFonts w:ascii="Source Code Pro" w:eastAsia="Source Code Pro" w:hAnsi="Source Code Pro" w:cs="Source Code Pro"/>
      <w:b/>
      <w:color w:val="E31C60"/>
    </w:rPr>
  </w:style>
  <w:style w:type="paragraph" w:styleId="Kopfzeile">
    <w:name w:val="header"/>
    <w:basedOn w:val="Standard"/>
    <w:link w:val="KopfzeileZchn"/>
    <w:uiPriority w:val="99"/>
    <w:unhideWhenUsed/>
    <w:rsid w:val="0047686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686B"/>
  </w:style>
  <w:style w:type="paragraph" w:styleId="Fuzeile">
    <w:name w:val="footer"/>
    <w:basedOn w:val="Standard"/>
    <w:link w:val="FuzeileZchn"/>
    <w:uiPriority w:val="99"/>
    <w:unhideWhenUsed/>
    <w:rsid w:val="0047686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2018-01-03T19:41:00Z</dcterms:created>
  <dcterms:modified xsi:type="dcterms:W3CDTF">2018-01-03T20:06:00Z</dcterms:modified>
</cp:coreProperties>
</file>