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59669"/>
          <w:sz w:val="20"/>
        </w:rPr>
        <w:t>MEDIUM TECHNICAL PUBLICATION  •  GOOGLE PACHAMAMA CHALLENGE</w:t>
        <w:br/>
      </w:r>
      <w:r>
        <w:rPr>
          <w:rFonts w:ascii="Calibri" w:hAnsi="Calibri"/>
          <w:b/>
          <w:color w:val="064E3B"/>
          <w:sz w:val="40"/>
        </w:rPr>
        <w:t>Green Guardian: Building an Enterprise Multi-Jurisdictional Environmental Law AI Copilot on Google Cloud</w:t>
      </w:r>
    </w:p>
    <w:p>
      <w:pPr>
        <w:spacing w:after="240"/>
      </w:pPr>
      <w:r>
        <w:rPr>
          <w:rFonts w:ascii="Calibri" w:hAnsi="Calibri"/>
          <w:i/>
          <w:color w:val="64748B"/>
          <w:sz w:val="22"/>
        </w:rPr>
        <w:t>How we unified 52 global legal instruments, U.S. Federal statutes, and EU directives using Gemini 2.5 Flash, Cross-Encoder Neural Reranking, and Serverless Cloud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i/>
                <w:color w:val="0F172A"/>
                <w:sz w:val="20"/>
              </w:rPr>
              <w:t>🌟 Executive Summary:</w:t>
              <w:br/>
              <w:t>"Green Guardian is an enterprise-grade AI legal copilot on Google Cloud that transforms complex environmental statutes, EU directives, and global climate treaties into instant, verifiable statutory answers with zero-hallucination grounding audits."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64E3B"/>
          <w:sz w:val="28"/>
        </w:rPr>
        <w:t>1. Introduction: The Fragmented Reality of Environmental Law</w:t>
      </w:r>
    </w:p>
    <w:p>
      <w:pPr>
        <w:spacing w:after="120"/>
      </w:pPr>
      <w:r>
        <w:t>Environmental law is universally recognized as one of the most critical, dense, and heavily penalized regulatory domains in modern governance. Whether evaluating a municipal infrastructure project, planning a renewable energy installation, or auditing an international corporate supply chain, compliance leads routinely navigate a labyrinth of overlapping frameworks:</w:t>
      </w:r>
    </w:p>
    <w:p>
      <w:pPr>
        <w:pStyle w:val="ListBullet"/>
        <w:spacing w:after="40"/>
      </w:pPr>
      <w:r>
        <w:t>• U.S. Federal Statutes: NEPA, Clean Air Act (CAA), Clean Water Act (CWA), Endangered Species Act (ESA), and Superfund (CERCLA).</w:t>
      </w:r>
    </w:p>
    <w:p>
      <w:pPr>
        <w:pStyle w:val="ListBullet"/>
        <w:spacing w:after="40"/>
      </w:pPr>
      <w:r>
        <w:t>• European Union Directives: Corporate Sustainability Due Diligence (CSDDD), Corporate Sustainability Reporting (CSRD), Carbon Border Adjustment (CBAM), and Industrial Emissions Directives (IED).</w:t>
      </w:r>
    </w:p>
    <w:p>
      <w:pPr>
        <w:pStyle w:val="ListBullet"/>
        <w:spacing w:after="120"/>
      </w:pPr>
      <w:r>
        <w:t>• Global Multilateral Treaties: Paris Climate Agreement (Article 4 NDCs) and Kunming-Montreal Global Biodiversity Framework (CBD COP15).</w:t>
      </w:r>
    </w:p>
    <w:p>
      <w:pPr>
        <w:spacing w:after="120"/>
      </w:pPr>
      <w:r>
        <w:t>Three major bottlenecks currently hinder global compliance:</w:t>
      </w:r>
    </w:p>
    <w:p>
      <w:pPr>
        <w:pStyle w:val="ListBullet"/>
        <w:spacing w:after="40"/>
      </w:pPr>
      <w:r>
        <w:rPr>
          <w:b/>
        </w:rPr>
        <w:t xml:space="preserve">1. Prohibitive Financial Barriers: </w:t>
      </w:r>
      <w:r>
        <w:t>Specialized environmental counsel costs $600 to $1,000+/hr, locking out NGOs and municipal planners.</w:t>
      </w:r>
    </w:p>
    <w:p>
      <w:pPr>
        <w:pStyle w:val="ListBullet"/>
        <w:spacing w:after="40"/>
      </w:pPr>
      <w:r>
        <w:rPr>
          <w:b/>
        </w:rPr>
        <w:t xml:space="preserve">2. Jurisdictional Silos: </w:t>
      </w:r>
      <w:r>
        <w:t>Compilations reside in disconnected federal, EU, and treaty databases with varying nomenclatures (NPDES, WOTUS, NAAQS, CELEX, NDCs).</w:t>
      </w:r>
    </w:p>
    <w:p>
      <w:pPr>
        <w:pStyle w:val="ListBullet"/>
        <w:spacing w:after="120"/>
      </w:pPr>
      <w:r>
        <w:rPr>
          <w:b/>
        </w:rPr>
        <w:t xml:space="preserve">3. The AI Hallucination Trap: </w:t>
      </w:r>
      <w:r>
        <w:t>Commercial LLMs invent nonexistent sections and misinterpret legal exceptions, creating catastrophic compliance risks.</w:t>
      </w:r>
    </w:p>
    <w:p>
      <w:pPr>
        <w:spacing w:before="240" w:after="80"/>
      </w:pPr>
      <w:r>
        <w:rPr>
          <w:rFonts w:ascii="Calibri" w:hAnsi="Calibri"/>
          <w:b/>
          <w:color w:val="064E3B"/>
          <w:sz w:val="28"/>
        </w:rPr>
        <w:t>2. Core Environmental Use Cases</w:t>
      </w:r>
    </w:p>
    <w:p>
      <w:pPr>
        <w:spacing w:after="40"/>
      </w:pPr>
      <w:r>
        <w:rPr>
          <w:b/>
          <w:color w:val="064E3B"/>
        </w:rPr>
        <w:t xml:space="preserve">• 🏛️ Municipal Impact Permitting (NEPA &amp; CWA): </w:t>
      </w:r>
      <w:r>
        <w:t>Evaluates Environmental Assessment (EA) vs. Environmental Impact Statement (EIS) significance thresholds (§ 102(2)(C)) and Clean Water Act § 402/§ 404 wetland dredge/fill permits for civic infrastructure.</w:t>
      </w:r>
    </w:p>
    <w:p>
      <w:pPr>
        <w:spacing w:after="40"/>
      </w:pPr>
      <w:r>
        <w:rPr>
          <w:b/>
          <w:color w:val="064E3B"/>
        </w:rPr>
        <w:t xml:space="preserve">• 🏢 Corporate ESG, Supply-Chain Due Diligence &amp; Carbon Tariffs (EU CSDDD &amp; CBAM): </w:t>
      </w:r>
      <w:r>
        <w:t>Navigates EU cross-border supply chain due diligence (CSDDD), sustainability disclosure (CSRD), and carbon import levies (CBAM) with official EUR-Lex CELEX citations.</w:t>
      </w:r>
    </w:p>
    <w:p>
      <w:pPr>
        <w:spacing w:after="40"/>
      </w:pPr>
      <w:r>
        <w:rPr>
          <w:b/>
          <w:color w:val="064E3B"/>
        </w:rPr>
        <w:t xml:space="preserve">• 🦅 Renewable Energy &amp; Critical Habitat Protections (ESA § 7 &amp; § 9): </w:t>
      </w:r>
      <w:r>
        <w:t>Delineates Endangered Species Act (ESA) § 7 interagency consultation duties from § 9 private take prohibitions for solar and wind energy developers.</w:t>
      </w:r>
    </w:p>
    <w:p>
      <w:pPr>
        <w:spacing w:after="40"/>
      </w:pPr>
      <w:r>
        <w:rPr>
          <w:b/>
          <w:color w:val="064E3B"/>
        </w:rPr>
        <w:t xml:space="preserve">• ⚖️ Environmental Justice &amp; Frontline Community Defense: </w:t>
      </w:r>
      <w:r>
        <w:t>Translates complex Superfund CERCLA § 107 strict liability provisions and Clean Air Act toxic standards into actionable citizen compliance checklists at zero cost.</w:t>
      </w:r>
    </w:p>
    <w:p>
      <w:pPr>
        <w:spacing w:before="240" w:after="80"/>
      </w:pPr>
      <w:r>
        <w:rPr>
          <w:rFonts w:ascii="Calibri" w:hAnsi="Calibri"/>
          <w:b/>
          <w:color w:val="064E3B"/>
          <w:sz w:val="28"/>
        </w:rPr>
        <w:t>3. System Architecture &amp; Google Cloud Topology</w:t>
      </w:r>
    </w:p>
    <w:p>
      <w:pPr>
        <w:spacing w:after="120"/>
      </w:pPr>
      <w:r>
        <w:t>Green Guardian runs entirely serverless on Google Cloud Platform across 5 modular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34D399"/>
                <w:sz w:val="15"/>
              </w:rPr>
              <w:t>+-----------------------------------------------------------------------------------+</w:t>
              <w:br/>
              <w:t>|                     GREEN GUARDIAN SYSTEM ARCHITECTURE (GCP)                      |</w:t>
              <w:br/>
              <w:t>+-----------------------------------------------------------------------------------+</w:t>
              <w:br/>
              <w:t xml:space="preserve">  [ Client Browser / Mobile ] (HTTPS Responsive UI)</w:t>
              <w:br/>
              <w:t xml:space="preserve">               │</w:t>
              <w:br/>
              <w:t xml:space="preserve">               ▼  (User Question + Jurisdiction Scope Filter)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               GOOGLE CLOUD RUN (Serverless Web Container)                     │</w:t>
              <w:br/>
              <w:t xml:space="preserve">  │   1. Streamlit Presentation: Real-Time Token Streaming &amp; Dataset Exports        │</w:t>
              <w:br/>
              <w:t xml:space="preserve">  │   2. Hybrid Retrieval: Rank-BM25 + Legal Acronym Query Expansion (NAAQS, NPDES) │</w:t>
              <w:br/>
              <w:t xml:space="preserve">  │   3. Neural Reranker: Sentence-Transformers (cross-encoder/ms-marco-MiniLM)     │</w:t>
              <w:br/>
              <w:t xml:space="preserve">  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  │ (Top Grounded Legal Excerpts)</w:t>
              <w:br/>
              <w:t xml:space="preserve">                                           ▼</w:t>
              <w:br/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               GOOGLE VERTEX AI (Agent Platform / Gemini Engine)               │</w:t>
              <w:br/>
              <w:t xml:space="preserve">  │   4. Gemini 2.5 Flash: Structured Legal Reasoning via Enterprise ADC IAM Auth   │</w:t>
              <w:br/>
              <w:t xml:space="preserve">  │   5. Verification Engine: Anti-Hallucination Audit Matrix &amp; Confidence Ranking   │</w:t>
              <w:br/>
              <w:t xml:space="preserve">  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  │ (Streamed Response + Verified Citations)</w:t>
              <w:br/>
              <w:t xml:space="preserve">  [ Rendered Legal Brief + Interactive Statutory Citations + Confidence Badge ]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64E3B"/>
          <w:sz w:val="28"/>
        </w:rPr>
        <w:t>4. Step-by-Step Technical Implementation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1: Multi-Jurisdiction Corpus Ingestion: </w:t>
      </w:r>
      <w:r>
        <w:t>Indexed 52 primary legal instruments (4,495+ provisions) directly from GovInfo.gov, EUR-Lex, UN Treaty Series, and Hugging Face G4KMU/LEMUR.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2: Legal Acronym Query Expansion: </w:t>
      </w:r>
      <w:r>
        <w:t>Preprocessed domain acronyms (NAAQS, NPDES, WOTUS, NDCs, CBAM, CSDDD) to maximize BM25 lexical recall across complex statutory titles.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3: Neural Cross-Encoder Reranking: </w:t>
      </w:r>
      <w:r>
        <w:t>Employed sentence-transformers cross-encoder/ms-marco-MiniLM-L-6-v2 to re-score candidates in &lt; 5ms, passing only operative paragraphs to the LLM.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4: Vertex AI Gemini 2.5 Flash Reasoning: </w:t>
      </w:r>
      <w:r>
        <w:t>Orchestrated generative synthesis using Gemini 2.5 Flash with Application Default Credentials (ADC) attached to green-guardian-sa.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5: Real-Time Token Streaming &amp; Audit: </w:t>
      </w:r>
      <w:r>
        <w:t>Streamed responses word-by-word via Streamlit write-stream with sub-0.5s latency, paired with real-time confidence badges and citation cards.</w:t>
      </w:r>
    </w:p>
    <w:p>
      <w:pPr>
        <w:pStyle w:val="ListBullet"/>
        <w:spacing w:after="60"/>
      </w:pPr>
      <w:r>
        <w:rPr>
          <w:b/>
          <w:color w:val="064E3B"/>
        </w:rPr>
        <w:t xml:space="preserve">Step 6: Serverless Deployment on Cloud Run: </w:t>
      </w:r>
      <w:r>
        <w:t>Packaged in Python 3.11-slim Docker container, built via Cloud Build, stored in Artifact Registry, and deployed on Cloud Run with scale-to-zero compute.</w:t>
      </w:r>
    </w:p>
    <w:p>
      <w:pPr>
        <w:spacing w:before="280" w:after="80"/>
      </w:pPr>
      <w:r>
        <w:rPr>
          <w:rFonts w:ascii="Calibri" w:hAnsi="Calibri"/>
          <w:b/>
          <w:color w:val="064E3B"/>
          <w:sz w:val="28"/>
        </w:rPr>
        <w:t>5. Cross-Industry Expansion: Applying This Architecture to Other High-Stakes Fields</w:t>
      </w:r>
    </w:p>
    <w:p>
      <w:pPr>
        <w:spacing w:after="120"/>
      </w:pPr>
      <w:r>
        <w:t>The architectural blueprint of Green Guardian—combining authoritative statutory corpus ingestion, acronym-aware hybrid retrieval, sub-millisecond Cross-Encoder reranking, Gemini 2.5 Flash reasoning, and deterministic anti-hallucination audits—is highly modular and directly transferable to other high-stakes, heavily regulated industries:</w:t>
      </w:r>
    </w:p>
    <w:p>
      <w:pPr>
        <w:spacing w:before="80" w:after="40"/>
      </w:pPr>
      <w:r>
        <w:rPr>
          <w:b/>
          <w:color w:val="064E3B"/>
          <w:sz w:val="21"/>
        </w:rPr>
        <w:t>• 🏥 1. Healthcare &amp; Pharmaceutical Regulatory Compliance (FDA &amp; HIPAA)</w:t>
      </w:r>
    </w:p>
    <w:p>
      <w:pPr>
        <w:spacing w:after="80"/>
        <w:ind w:left="288"/>
      </w:pPr>
      <w:r>
        <w:rPr>
          <w:sz w:val="19"/>
        </w:rPr>
        <w:t>Challenge: Navigating Title 21 CFR (FDA drug approvals, medical device 510(k) clearances), HIPAA privacy rules, and clinical trial regulations.</w:t>
        <w:br/>
        <w:t>Application: By indexing FDA statutory guidance, CFR titles, and clinical trial protocols, this architecture enables pharmaceutical researchers and hospital compliance teams to verify regulatory approval pathways with zero hallucination risk.</w:t>
      </w:r>
    </w:p>
    <w:p>
      <w:pPr>
        <w:spacing w:before="80" w:after="40"/>
      </w:pPr>
      <w:r>
        <w:rPr>
          <w:b/>
          <w:color w:val="064E3B"/>
          <w:sz w:val="21"/>
        </w:rPr>
        <w:t>• 💳 2. Banking, Financial Regulations &amp; Anti-Money Laundering (SEC, FinCEN &amp; Dodd-Frank)</w:t>
      </w:r>
    </w:p>
    <w:p>
      <w:pPr>
        <w:spacing w:after="80"/>
        <w:ind w:left="288"/>
      </w:pPr>
      <w:r>
        <w:rPr>
          <w:sz w:val="19"/>
        </w:rPr>
        <w:t>Challenge: Financial institutions face severe regulatory penalties navigating SEC filings, Dodd-Frank disclosures, Basel III capital requirements, and FinCEN BSA/AML compliance.</w:t>
        <w:br/>
        <w:t>Application: Ingesting federal financial statutes and SEC guidance allows risk officers to cross-reference multi-jurisdictional financial rules and automate compliance checks in seconds.</w:t>
      </w:r>
    </w:p>
    <w:p>
      <w:pPr>
        <w:spacing w:before="80" w:after="40"/>
      </w:pPr>
      <w:r>
        <w:rPr>
          <w:b/>
          <w:color w:val="064E3B"/>
          <w:sz w:val="21"/>
        </w:rPr>
        <w:t>• ✈️ 3. Aviation &amp; Maritime Safety Standards (FAA, EASA &amp; IMO)</w:t>
      </w:r>
    </w:p>
    <w:p>
      <w:pPr>
        <w:spacing w:after="80"/>
        <w:ind w:left="288"/>
      </w:pPr>
      <w:r>
        <w:rPr>
          <w:sz w:val="19"/>
        </w:rPr>
        <w:t>Challenge: Air carriers, aerospace manufacturers, and maritime operators must adhere to dense international safety standards spanning FAA Federal Aviation Regulations (FARs), EASA directives, and International Maritime Organization (IMO) emissions rules.</w:t>
        <w:br/>
        <w:t>Application: Enables aerospace engineers and maritime fleet managers to verify airworthiness directives, maintenance protocols, and MARPOL emissions limits instantly.</w:t>
      </w:r>
    </w:p>
    <w:p>
      <w:pPr>
        <w:spacing w:before="80" w:after="40"/>
      </w:pPr>
      <w:r>
        <w:rPr>
          <w:b/>
          <w:color w:val="064E3B"/>
          <w:sz w:val="21"/>
        </w:rPr>
        <w:t>• 🔒 4. Cybersecurity, Data Privacy &amp; AI Governance (GDPR, EU AI Act &amp; ISO 27001)</w:t>
      </w:r>
    </w:p>
    <w:p>
      <w:pPr>
        <w:spacing w:after="80"/>
        <w:ind w:left="288"/>
      </w:pPr>
      <w:r>
        <w:rPr>
          <w:sz w:val="19"/>
        </w:rPr>
        <w:t>Challenge: Technology organizations operating globally must comply with GDPR, CCPA/CPRA, the EU Artificial Intelligence Act (risk classification &amp; conformity assessments), and ISO/NIST cybersecurity controls.</w:t>
        <w:br/>
        <w:t>Application: Empowers Chief Information Security Officers (CISOs) and data protection leads to audit system architectures against statutory privacy and AI safety mandates with verifiable citations.</w:t>
      </w:r>
    </w:p>
    <w:p>
      <w:pPr>
        <w:spacing w:before="80" w:after="40"/>
      </w:pPr>
      <w:r>
        <w:rPr>
          <w:b/>
          <w:color w:val="064E3B"/>
          <w:sz w:val="21"/>
        </w:rPr>
        <w:t>• ⚡ 5. Energy Grid Modernization &amp; Nuclear Regulatory Compliance (FERC &amp; NRC)</w:t>
      </w:r>
    </w:p>
    <w:p>
      <w:pPr>
        <w:spacing w:after="80"/>
        <w:ind w:left="288"/>
      </w:pPr>
      <w:r>
        <w:rPr>
          <w:sz w:val="19"/>
        </w:rPr>
        <w:t>Challenge: Clean energy utilities expanding solar, wind, and nuclear energy must navigate Federal Energy Regulatory Commission (FERC) grid interconnection rules and Nuclear Regulatory Commission (NRC) safety standards.</w:t>
        <w:br/>
        <w:t>Application: Provides utility engineers and energy policy makers with instant cross-jurisdictional statutory analysis to accelerate clean energy grid approvals.</w:t>
      </w:r>
    </w:p>
    <w:p>
      <w:pPr>
        <w:spacing w:before="240" w:after="80"/>
      </w:pPr>
      <w:r>
        <w:rPr>
          <w:rFonts w:ascii="Calibri" w:hAnsi="Calibri"/>
          <w:b/>
          <w:color w:val="064E3B"/>
          <w:sz w:val="28"/>
        </w:rPr>
        <w:t>6. Conclusion &amp; Live Demonstration</w:t>
      </w:r>
    </w:p>
    <w:p>
      <w:pPr>
        <w:spacing w:after="120"/>
      </w:pPr>
      <w:r>
        <w:t>Green Guardian proves that production-grade legal AI does not require multimillion-dollar infrastructures. By orchestrating Google Vertex AI Gemini 2.5 Flash, Cross-Encoder Neural Reranking, and Serverless Google Cloud Run, we democratize access to the statutory rules that protect our planet.</w:t>
      </w:r>
    </w:p>
    <w:p>
      <w:pPr>
        <w:pStyle w:val="ListBullet"/>
      </w:pPr>
      <w:r>
        <w:t>• Live Application Demo: Google Cloud Run Serverless Endpoint</w:t>
        <w:br/>
      </w:r>
      <w:r>
        <w:t>• GitHub Repository: https://github.com/SThuggili/Green-guardian</w:t>
        <w:br/>
      </w:r>
      <w:r>
        <w:t>• Built for: Google Pachamama Challenge (Google Cloud Platform)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Google Cloud Platform • Google Pachamama Challenge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Green Guardian • Medium Technical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