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59669"/>
          <w:sz w:val="20"/>
        </w:rPr>
        <w:t>GOOGLE CLOUD PLATFORM  •  TECHNICAL DOCUMENTATION</w:t>
        <w:br/>
      </w:r>
      <w:r>
        <w:rPr>
          <w:rFonts w:ascii="Calibri" w:hAnsi="Calibri"/>
          <w:b/>
          <w:color w:val="064E3B"/>
          <w:sz w:val="44"/>
        </w:rPr>
        <w:t>Green Guardian: Multi-Jurisdictional Environmental Law AI</w:t>
      </w:r>
    </w:p>
    <w:p>
      <w:pPr>
        <w:spacing w:after="240"/>
      </w:pPr>
      <w:r>
        <w:rPr>
          <w:rFonts w:ascii="Calibri" w:hAnsi="Calibri"/>
          <w:i/>
          <w:color w:val="64748B"/>
          <w:sz w:val="22"/>
        </w:rPr>
        <w:t>An Enterprise Grounded Legal Intelligence Platform Powered by Google Vertex AI (Gemini 2.5 Flash), Cross-Encoder Neural Reranking, and Serverless Google Cloud Run</w:t>
      </w:r>
    </w:p>
    <w:tbl>
      <w:tblPr>
        <w:tblW w:type="auto" w:w="0"/>
        <w:jc w:val="center"/>
        <w:tblLook w:firstColumn="1" w:firstRow="1" w:lastColumn="0" w:lastRow="0" w:noHBand="0" w:noVBand="1" w:val="04A0"/>
      </w:tblPr>
      <w:tblGrid>
        <w:gridCol w:w="9648"/>
      </w:tblGrid>
      <w:tr>
        <w:tc>
          <w:tcPr>
            <w:tcW w:type="dxa" w:w="9648"/>
            <w:shd w:fill="ECFDF5"/>
            <w:tcMar>
              <w:top w:w="120" w:type="dxa"/>
              <w:bottom w:w="120" w:type="dxa"/>
              <w:left w:w="160" w:type="dxa"/>
              <w:right w:w="160" w:type="dxa"/>
            </w:tcMar>
          </w:tcPr>
          <w:p>
            <w:pPr>
              <w:spacing w:after="0"/>
            </w:pPr>
            <w:r>
              <w:rPr>
                <w:rFonts w:ascii="Calibri" w:hAnsi="Calibri"/>
                <w:b/>
                <w:color w:val="064E3B"/>
                <w:sz w:val="20"/>
              </w:rPr>
              <w:t>🌟 Primary One-Liner / Executive Tagline:</w:t>
              <w:br/>
            </w:r>
            <w:r>
              <w:rPr>
                <w:rFonts w:ascii="Calibri" w:hAnsi="Calibri"/>
                <w:i/>
                <w:color w:val="0F172A"/>
                <w:sz w:val="21"/>
              </w:rPr>
              <w:t>"Green Guardian is an enterprise-grade AI legal copilot on Google Cloud that transforms complex environmental statutes, EU directives, and global climate treaties into instant, verifiable statutory answers with zero-hallucination grounding audits."</w:t>
            </w:r>
          </w:p>
        </w:tc>
      </w:tr>
    </w:tbl>
    <w:p>
      <w:pPr>
        <w:spacing w:after="200"/>
      </w:pPr>
    </w:p>
    <w:p>
      <w:pPr>
        <w:spacing w:before="280" w:after="120"/>
      </w:pPr>
      <w:r>
        <w:rPr>
          <w:rFonts w:ascii="Calibri" w:hAnsi="Calibri"/>
          <w:b/>
          <w:color w:val="064E3B"/>
          <w:sz w:val="32"/>
        </w:rPr>
        <w:t>1. Project Description</w:t>
      </w:r>
    </w:p>
    <w:p>
      <w:pPr>
        <w:spacing w:after="160"/>
      </w:pPr>
      <w:r>
        <w:t>Environmental compliance, climate policy advocacy, and ESG governance represent some of the most critical challenges of our time. However, environmental law is widely recognized as one of the most fragmented, dense, and heavily penalized regulatory domains in existence. A single infrastructure review, commercial facility permit, or corporate supply-chain audit routinely intersects multiple overlapping legal frameworks—including the National Environmental Policy Act (NEPA), the Clean Air Act (CAA), the Clean Water Act (CWA), the Endangered Species Act (ESA), CERCLA Superfund liability, European Union directives (CSRD/CSDDD), and international treaties like the Paris Climate Agreement.</w:t>
      </w:r>
    </w:p>
    <w:p>
      <w:pPr>
        <w:spacing w:after="120"/>
      </w:pPr>
      <w:r>
        <w:rPr>
          <w:b/>
        </w:rPr>
        <w:t>Three critical challenges currently hinder effective environmental governance and research:</w:t>
      </w:r>
    </w:p>
    <w:p>
      <w:pPr>
        <w:pStyle w:val="ListBullet"/>
        <w:spacing w:after="60"/>
      </w:pPr>
      <w:r>
        <w:rPr>
          <w:b/>
          <w:color w:val="064E3B"/>
        </w:rPr>
        <w:t xml:space="preserve">Prohibitive Financial Barriers: </w:t>
      </w:r>
      <w:r>
        <w:t>Specialized environmental legal counsel costs upwards of $600 to $1,000+ per hour, placing rigorous statutory analysis out of reach for non-profit organizations, municipal planning agencies, climate startups, and frontline grassroots advocacy groups.</w:t>
      </w:r>
    </w:p>
    <w:p>
      <w:pPr>
        <w:pStyle w:val="ListBullet"/>
        <w:spacing w:after="60"/>
      </w:pPr>
      <w:r>
        <w:rPr>
          <w:b/>
          <w:color w:val="064E3B"/>
        </w:rPr>
        <w:t xml:space="preserve">Multi-Jurisdictional Silos: </w:t>
      </w:r>
      <w:r>
        <w:t>Statutes, administrative regulations, and treaty provisions are distributed across disconnected federal, regional, and international repositories with differing terminologies (e.g., NPDES point sources, WOTUS, NAAQS SIPs, EUR-Lex CELEX directives, Article 4 NDCs).</w:t>
      </w:r>
    </w:p>
    <w:p>
      <w:pPr>
        <w:pStyle w:val="ListBullet"/>
        <w:spacing w:after="60"/>
      </w:pPr>
      <w:r>
        <w:rPr>
          <w:b/>
          <w:color w:val="064E3B"/>
        </w:rPr>
        <w:t xml:space="preserve">Hallucination Hazards in Commercial AI: </w:t>
      </w:r>
      <w:r>
        <w:t>Standard commercial LLMs frequently fabricate statutory sections, hallucinate nonexistent exceptions, or conflate state vs. federal provisions, rendering ungrounded generative AI dangerous for high-stakes regulatory compliance.</w:t>
      </w:r>
    </w:p>
    <w:p>
      <w:pPr>
        <w:spacing w:before="120" w:after="160"/>
      </w:pPr>
      <w:r>
        <w:t>Green Guardian solves these barriers by providing an enterprise-grade, serverless legal cognitive agent deployed on Google Cloud Platform. The platform indexes 52 primary legal instruments comprising 4,495+ structured statutory provisions directly from official government repositories and verified legal datasets, translating thousands of pages of dense statutory text into structured, legally grounded briefs with zero hallucinations.</w:t>
      </w:r>
    </w:p>
    <w:p>
      <w:pPr>
        <w:spacing w:before="120" w:after="80"/>
      </w:pPr>
      <w:r>
        <w:rPr>
          <w:b/>
          <w:color w:val="064E3B"/>
          <w:sz w:val="23"/>
        </w:rPr>
        <w:t>Knowledge Corpus &amp; Data Sources Catalog:</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64E3B"/>
            <w:tcMar>
              <w:top w:w="100" w:type="dxa"/>
              <w:bottom w:w="100" w:type="dxa"/>
              <w:left w:w="120" w:type="dxa"/>
              <w:right w:w="120" w:type="dxa"/>
            </w:tcMar>
          </w:tcPr>
          <w:p>
            <w:r>
              <w:rPr>
                <w:b/>
                <w:color w:val="FFFFFF"/>
                <w:sz w:val="18"/>
              </w:rPr>
              <w:t>Data Category</w:t>
            </w:r>
          </w:p>
        </w:tc>
        <w:tc>
          <w:tcPr>
            <w:tcW w:type="dxa" w:w="3216"/>
            <w:shd w:fill="064E3B"/>
            <w:tcMar>
              <w:top w:w="100" w:type="dxa"/>
              <w:bottom w:w="100" w:type="dxa"/>
              <w:left w:w="120" w:type="dxa"/>
              <w:right w:w="120" w:type="dxa"/>
            </w:tcMar>
          </w:tcPr>
          <w:p>
            <w:r>
              <w:rPr>
                <w:b/>
                <w:color w:val="FFFFFF"/>
                <w:sz w:val="18"/>
              </w:rPr>
              <w:t>Source Origin / Provider</w:t>
            </w:r>
          </w:p>
        </w:tc>
        <w:tc>
          <w:tcPr>
            <w:tcW w:type="dxa" w:w="3216"/>
            <w:shd w:fill="064E3B"/>
            <w:tcMar>
              <w:top w:w="100" w:type="dxa"/>
              <w:bottom w:w="100" w:type="dxa"/>
              <w:left w:w="120" w:type="dxa"/>
              <w:right w:w="120" w:type="dxa"/>
            </w:tcMar>
          </w:tcPr>
          <w:p>
            <w:r>
              <w:rPr>
                <w:b/>
                <w:color w:val="FFFFFF"/>
                <w:sz w:val="18"/>
              </w:rPr>
              <w:t>Legal Instruments &amp; Covered Scope</w:t>
            </w:r>
          </w:p>
        </w:tc>
      </w:tr>
      <w:tr>
        <w:tc>
          <w:tcPr>
            <w:tcW w:type="dxa" w:w="3216"/>
            <w:shd w:fill="F8FAFC"/>
            <w:tcMar>
              <w:top w:w="80" w:type="dxa"/>
              <w:bottom w:w="80" w:type="dxa"/>
              <w:left w:w="100" w:type="dxa"/>
              <w:right w:w="100" w:type="dxa"/>
            </w:tcMar>
          </w:tcPr>
          <w:p>
            <w:r>
              <w:rPr>
                <w:b/>
                <w:color w:val="064E3B"/>
                <w:sz w:val="17"/>
              </w:rPr>
              <w:t>U.S. Federal Environmental Statutes</w:t>
            </w:r>
          </w:p>
        </w:tc>
        <w:tc>
          <w:tcPr>
            <w:tcW w:type="dxa" w:w="3216"/>
            <w:shd w:fill="F8FAFC"/>
            <w:tcMar>
              <w:top w:w="80" w:type="dxa"/>
              <w:bottom w:w="80" w:type="dxa"/>
              <w:left w:w="100" w:type="dxa"/>
              <w:right w:w="100" w:type="dxa"/>
            </w:tcMar>
          </w:tcPr>
          <w:p>
            <w:r>
              <w:rPr>
                <w:b/>
                <w:color w:val="059669"/>
                <w:sz w:val="17"/>
              </w:rPr>
              <w:t>GovInfo.gov (U.S. Government Publishing Office)</w:t>
            </w:r>
          </w:p>
        </w:tc>
        <w:tc>
          <w:tcPr>
            <w:tcW w:type="dxa" w:w="3216"/>
            <w:shd w:fill="F8FAFC"/>
            <w:tcMar>
              <w:top w:w="80" w:type="dxa"/>
              <w:bottom w:w="80" w:type="dxa"/>
              <w:left w:w="100" w:type="dxa"/>
              <w:right w:w="100" w:type="dxa"/>
            </w:tcMar>
          </w:tcPr>
          <w:p>
            <w:r>
              <w:rPr>
                <w:sz w:val="17"/>
              </w:rPr>
              <w:t>Official compilations of NEPA (42 U.S.C. § 4321), Clean Air Act (§ 7401), Clean Water Act (33 U.S.C. § 1251), Endangered Species Act (16 U.S.C. § 1531), CERCLA/Superfund (§ 9601), RCRA, SDWA, TSCA, and FIFRA.</w:t>
            </w:r>
          </w:p>
        </w:tc>
      </w:tr>
      <w:tr>
        <w:tc>
          <w:tcPr>
            <w:tcW w:type="dxa" w:w="3216"/>
            <w:shd w:fill="FFFFFF"/>
            <w:tcMar>
              <w:top w:w="80" w:type="dxa"/>
              <w:bottom w:w="80" w:type="dxa"/>
              <w:left w:w="100" w:type="dxa"/>
              <w:right w:w="100" w:type="dxa"/>
            </w:tcMar>
          </w:tcPr>
          <w:p>
            <w:r>
              <w:rPr>
                <w:b/>
                <w:color w:val="064E3B"/>
                <w:sz w:val="17"/>
              </w:rPr>
              <w:t>Global Climate &amp; Biodiversity Treaties</w:t>
            </w:r>
          </w:p>
        </w:tc>
        <w:tc>
          <w:tcPr>
            <w:tcW w:type="dxa" w:w="3216"/>
            <w:shd w:fill="FFFFFF"/>
            <w:tcMar>
              <w:top w:w="80" w:type="dxa"/>
              <w:bottom w:w="80" w:type="dxa"/>
              <w:left w:w="100" w:type="dxa"/>
              <w:right w:w="100" w:type="dxa"/>
            </w:tcMar>
          </w:tcPr>
          <w:p>
            <w:r>
              <w:rPr>
                <w:b/>
                <w:color w:val="059669"/>
                <w:sz w:val="17"/>
              </w:rPr>
              <w:t>UN Treaty Series, UNFCCC &amp; CBD.int</w:t>
            </w:r>
          </w:p>
        </w:tc>
        <w:tc>
          <w:tcPr>
            <w:tcW w:type="dxa" w:w="3216"/>
            <w:shd w:fill="FFFFFF"/>
            <w:tcMar>
              <w:top w:w="80" w:type="dxa"/>
              <w:bottom w:w="80" w:type="dxa"/>
              <w:left w:w="100" w:type="dxa"/>
              <w:right w:w="100" w:type="dxa"/>
            </w:tcMar>
          </w:tcPr>
          <w:p>
            <w:r>
              <w:rPr>
                <w:sz w:val="17"/>
              </w:rPr>
              <w:t>Multilateral environmental agreements: Paris Climate Agreement (COP21 / UNTS No. 54113, Art. 4 NDCs), Kunming-Montreal Global Biodiversity Framework (COP15 Target 3 30x30), and UNFCCC Convention text.</w:t>
            </w:r>
          </w:p>
        </w:tc>
      </w:tr>
      <w:tr>
        <w:tc>
          <w:tcPr>
            <w:tcW w:type="dxa" w:w="3216"/>
            <w:shd w:fill="F8FAFC"/>
            <w:tcMar>
              <w:top w:w="80" w:type="dxa"/>
              <w:bottom w:w="80" w:type="dxa"/>
              <w:left w:w="100" w:type="dxa"/>
              <w:right w:w="100" w:type="dxa"/>
            </w:tcMar>
          </w:tcPr>
          <w:p>
            <w:r>
              <w:rPr>
                <w:b/>
                <w:color w:val="064E3B"/>
                <w:sz w:val="17"/>
              </w:rPr>
              <w:t>European Union Environmental Legislation</w:t>
            </w:r>
          </w:p>
        </w:tc>
        <w:tc>
          <w:tcPr>
            <w:tcW w:type="dxa" w:w="3216"/>
            <w:shd w:fill="F8FAFC"/>
            <w:tcMar>
              <w:top w:w="80" w:type="dxa"/>
              <w:bottom w:w="80" w:type="dxa"/>
              <w:left w:w="100" w:type="dxa"/>
              <w:right w:w="100" w:type="dxa"/>
            </w:tcMar>
          </w:tcPr>
          <w:p>
            <w:r>
              <w:rPr>
                <w:b/>
                <w:color w:val="059669"/>
                <w:sz w:val="17"/>
              </w:rPr>
              <w:t>EUR-Lex &amp; Hugging Face (G4KMU/LEMUR)</w:t>
            </w:r>
          </w:p>
        </w:tc>
        <w:tc>
          <w:tcPr>
            <w:tcW w:type="dxa" w:w="3216"/>
            <w:shd w:fill="F8FAFC"/>
            <w:tcMar>
              <w:top w:w="80" w:type="dxa"/>
              <w:bottom w:w="80" w:type="dxa"/>
              <w:left w:w="100" w:type="dxa"/>
              <w:right w:w="100" w:type="dxa"/>
            </w:tcMar>
          </w:tcPr>
          <w:p>
            <w:r>
              <w:rPr>
                <w:sz w:val="17"/>
              </w:rPr>
              <w:t>EU Environmental Acquis (Chapter 15.10) with CELEX document IDs: Corporate Sustainability Due Diligence (CSDDD), Corporate Sustainability Reporting (CSRD), Carbon Border Adjustment (CBAM), EU ETS, Industrial Emissions (IED), and Water Framework Directives.</w:t>
            </w:r>
          </w:p>
        </w:tc>
      </w:tr>
      <w:tr>
        <w:tc>
          <w:tcPr>
            <w:tcW w:type="dxa" w:w="3216"/>
            <w:shd w:fill="FFFFFF"/>
            <w:tcMar>
              <w:top w:w="80" w:type="dxa"/>
              <w:bottom w:w="80" w:type="dxa"/>
              <w:left w:w="100" w:type="dxa"/>
              <w:right w:w="100" w:type="dxa"/>
            </w:tcMar>
          </w:tcPr>
          <w:p>
            <w:r>
              <w:rPr>
                <w:b/>
                <w:color w:val="064E3B"/>
                <w:sz w:val="17"/>
              </w:rPr>
              <w:t>Global Climate Policy &amp; Permitting</w:t>
            </w:r>
          </w:p>
        </w:tc>
        <w:tc>
          <w:tcPr>
            <w:tcW w:type="dxa" w:w="3216"/>
            <w:shd w:fill="FFFFFF"/>
            <w:tcMar>
              <w:top w:w="80" w:type="dxa"/>
              <w:bottom w:w="80" w:type="dxa"/>
              <w:left w:w="100" w:type="dxa"/>
              <w:right w:w="100" w:type="dxa"/>
            </w:tcMar>
          </w:tcPr>
          <w:p>
            <w:r>
              <w:rPr>
                <w:b/>
                <w:color w:val="059669"/>
                <w:sz w:val="17"/>
              </w:rPr>
              <w:t>Hugging Face (ClimatePolicyRadar &amp; PermitTEC)</w:t>
            </w:r>
          </w:p>
        </w:tc>
        <w:tc>
          <w:tcPr>
            <w:tcW w:type="dxa" w:w="3216"/>
            <w:shd w:fill="FFFFFF"/>
            <w:tcMar>
              <w:top w:w="80" w:type="dxa"/>
              <w:bottom w:w="80" w:type="dxa"/>
              <w:left w:w="100" w:type="dxa"/>
              <w:right w:w="100" w:type="dxa"/>
            </w:tcMar>
          </w:tcPr>
          <w:p>
            <w:r>
              <w:rPr>
                <w:sz w:val="17"/>
              </w:rPr>
              <w:t>Structured national climate laws, carbon pricing strategies, and industrial environmental permitting standards across 40+ countries for comparative cross-jurisdiction analysis.</w:t>
            </w:r>
          </w:p>
        </w:tc>
      </w:tr>
    </w:tbl>
    <w:p>
      <w:pPr>
        <w:spacing w:before="160" w:after="80"/>
      </w:pPr>
      <w:r>
        <w:rPr>
          <w:b/>
          <w:color w:val="064E3B"/>
          <w:sz w:val="23"/>
        </w:rPr>
        <w:t>Key Functional Innovations:</w:t>
      </w:r>
    </w:p>
    <w:p>
      <w:pPr>
        <w:pStyle w:val="ListBullet"/>
        <w:spacing w:after="60"/>
      </w:pPr>
      <w:r>
        <w:rPr>
          <w:b/>
          <w:color w:val="064E3B"/>
        </w:rPr>
        <w:t xml:space="preserve">Real-Time Token Streaming: </w:t>
      </w:r>
      <w:r>
        <w:t>Gemini 2.5 Flash streams output word-by-word via Streamlit write-stream, reducing perceived user response latency to under 0.5 seconds.</w:t>
      </w:r>
    </w:p>
    <w:p>
      <w:pPr>
        <w:pStyle w:val="ListBullet"/>
        <w:spacing w:after="60"/>
      </w:pPr>
      <w:r>
        <w:rPr>
          <w:b/>
          <w:color w:val="064E3B"/>
        </w:rPr>
        <w:t xml:space="preserve">Multi-Jurisdiction Scope Filtering: </w:t>
      </w:r>
      <w:r>
        <w:t>Allows users to filter search scope specifically across All Laws, 🇺🇸 U.S. Federal Statutes, 🇪🇺 EU Directives, or 🌍 Global Treaties.</w:t>
      </w:r>
    </w:p>
    <w:p>
      <w:pPr>
        <w:pStyle w:val="ListBullet"/>
        <w:spacing w:after="60"/>
      </w:pPr>
      <w:r>
        <w:rPr>
          <w:b/>
          <w:color w:val="064E3B"/>
        </w:rPr>
        <w:t xml:space="preserve">Zero-Hallucination Anti-Hallucination Audit: </w:t>
      </w:r>
      <w:r>
        <w:t>Every answer is paired with a Grounding Confidence Rank Badge (e.g., High Statute-Verified 98%) and interactive statutory citation cards with exact section and page numbers.</w:t>
      </w:r>
    </w:p>
    <w:p>
      <w:pPr>
        <w:pStyle w:val="ListBullet"/>
        <w:spacing w:after="60"/>
      </w:pPr>
      <w:r>
        <w:rPr>
          <w:b/>
          <w:color w:val="064E3B"/>
        </w:rPr>
        <w:t xml:space="preserve">One-Click Compliance Brief &amp; Dataset Exporters: </w:t>
      </w:r>
      <w:r>
        <w:t>Enables instant Markdown legal brief downloads for queries and full CSV/JSON dataset exports of the 4,495+ provision corpus directly from the UI.</w:t>
      </w:r>
    </w:p>
    <w:p>
      <w:pPr>
        <w:spacing w:after="200"/>
      </w:pPr>
    </w:p>
    <w:p>
      <w:pPr>
        <w:spacing w:before="280" w:after="120"/>
      </w:pPr>
      <w:r>
        <w:rPr>
          <w:rFonts w:ascii="Calibri" w:hAnsi="Calibri"/>
          <w:b/>
          <w:color w:val="064E3B"/>
          <w:sz w:val="32"/>
        </w:rPr>
        <w:t>2. Project Use Cases</w:t>
      </w:r>
    </w:p>
    <w:p>
      <w:pPr>
        <w:spacing w:after="160"/>
      </w:pPr>
      <w:r>
        <w:t>Green Guardian addresses a wide spectrum of cross-sector use cases across municipal governance, corporate sustainability, renewable energy development, public advocacy, and environmental litigation:</w:t>
      </w:r>
    </w:p>
    <w:p>
      <w:pPr>
        <w:spacing w:before="120" w:after="40"/>
      </w:pPr>
      <w:r>
        <w:rPr>
          <w:b/>
          <w:color w:val="064E3B"/>
          <w:sz w:val="22"/>
        </w:rPr>
        <w:t>• Use Case 1: Municipal Infrastructure &amp; Environmental Impact Permitting (NEPA &amp; CWA)</w:t>
      </w:r>
    </w:p>
    <w:p>
      <w:pPr>
        <w:spacing w:after="120"/>
        <w:ind w:left="288"/>
      </w:pPr>
      <w:r>
        <w:rPr>
          <w:sz w:val="19"/>
        </w:rPr>
        <w:t>Target Users: Municipal planners, civil engineers, state DOT review officers, environmental consultants.</w:t>
        <w:br/>
        <w:t>Scenario: A regional public transit authority designing a light rail bridge must evaluate whether construction triggers a mandatory Environmental Impact Statement (EIS) versus an Environmental Assessment (EA) under NEPA § 102(2)(C), while simultaneously assessing wetland dredge/fill permits under Clean Water Act § 404.</w:t>
        <w:br/>
        <w:t>Green Guardian Solution: Instantly produces a structured breakdown detailing categorical exclusion boundaries, CEQ significance criteria, and Army Corps of Engineers § 404 permitting requirements with exact compilation page numbers.</w:t>
      </w:r>
    </w:p>
    <w:p>
      <w:pPr>
        <w:spacing w:before="120" w:after="40"/>
      </w:pPr>
      <w:r>
        <w:rPr>
          <w:b/>
          <w:color w:val="064E3B"/>
          <w:sz w:val="22"/>
        </w:rPr>
        <w:t>• Use Case 2: Corporate ESG, Supply-Chain Due Diligence &amp; Carbon Tariffs (EU CSDDD, CSRD &amp; CBAM)</w:t>
      </w:r>
    </w:p>
    <w:p>
      <w:pPr>
        <w:spacing w:after="120"/>
        <w:ind w:left="288"/>
      </w:pPr>
      <w:r>
        <w:rPr>
          <w:sz w:val="19"/>
        </w:rPr>
        <w:t>Target Users: Chief Sustainability Officers, ESG analysts, corporate legal counsel, supply-chain auditors.</w:t>
        <w:br/>
        <w:t>Scenario: A multinational manufacturing company exporting heavy machinery to the European Union must comply with cross-border supply chain environmental due diligence (CSDDD), sustainability disclosure (CSRD), and carbon import levies (CBAM).</w:t>
        <w:br/>
        <w:t>Green Guardian Solution: Extracts operative EUR-Lex CELEX articles, calculates covered emissions scope, outlines mandatory reporting cycles under CSRD, and provides an exportable compliance brief with verifiable citations.</w:t>
      </w:r>
    </w:p>
    <w:p>
      <w:pPr>
        <w:spacing w:before="120" w:after="40"/>
      </w:pPr>
      <w:r>
        <w:rPr>
          <w:b/>
          <w:color w:val="064E3B"/>
          <w:sz w:val="22"/>
        </w:rPr>
        <w:t>• Use Case 3: Renewable Energy Development &amp; Critical Habitat Protections (ESA § 7 &amp; § 9)</w:t>
      </w:r>
    </w:p>
    <w:p>
      <w:pPr>
        <w:spacing w:after="120"/>
        <w:ind w:left="288"/>
      </w:pPr>
      <w:r>
        <w:rPr>
          <w:sz w:val="19"/>
        </w:rPr>
        <w:t>Target Users: Solar and wind energy developers, federal leasing agencies (BLM/BOEM), wildlife biologists.</w:t>
        <w:br/>
        <w:t>Scenario: A utility-scale wind farm developer needs to evaluate whether turbine operations could cause an unlawful 'take' under Endangered Species Act (ESA) Section 9 or require formal Section 7 interagency consultation with the U.S. Fish and Wildlife Service.</w:t>
        <w:br/>
        <w:t>Green Guardian Solution: Delineates the statutory boundaries between federal agency consultation duties (§ 7(a)(2)), biological opinions, incidental take permits (§ 10), and Section 9 private take prohibitions with a 98% grounded confidence rank.</w:t>
      </w:r>
    </w:p>
    <w:p>
      <w:pPr>
        <w:spacing w:before="120" w:after="40"/>
      </w:pPr>
      <w:r>
        <w:rPr>
          <w:b/>
          <w:color w:val="064E3B"/>
          <w:sz w:val="22"/>
        </w:rPr>
        <w:t>• Use Case 4: Clean Air Compliance &amp; State Implementation Plans (Clean Air Act NAAQS &amp; SIPs)</w:t>
      </w:r>
    </w:p>
    <w:p>
      <w:pPr>
        <w:spacing w:after="120"/>
        <w:ind w:left="288"/>
      </w:pPr>
      <w:r>
        <w:rPr>
          <w:sz w:val="19"/>
        </w:rPr>
        <w:t>Target Users: Industrial facility environmental managers, municipal air quality boards, environmental engineers.</w:t>
        <w:br/>
        <w:t>Scenario: An industrial facility in a nonattainment zone must assess compliance with National Ambient Air Quality Standards (NAAQS) and determine how state-level rules in a State Implementation Plan (SIP) apply under Clean Air Act Section 110.</w:t>
        <w:br/>
        <w:t>Green Guardian Solution: Analyzes primary (health) versus secondary (welfare) ambient air standards under CAA § 109, outlines Title V operating permit obligations, and provides statutory defense criteria.</w:t>
      </w:r>
    </w:p>
    <w:p>
      <w:pPr>
        <w:spacing w:before="120" w:after="40"/>
      </w:pPr>
      <w:r>
        <w:rPr>
          <w:b/>
          <w:color w:val="064E3B"/>
          <w:sz w:val="22"/>
        </w:rPr>
        <w:t>• Use Case 5: Hazardous Waste Tracking &amp; Superfund Liability (RCRA &amp; CERCLA § 107)</w:t>
      </w:r>
    </w:p>
    <w:p>
      <w:pPr>
        <w:spacing w:after="120"/>
        <w:ind w:left="288"/>
      </w:pPr>
      <w:r>
        <w:rPr>
          <w:sz w:val="19"/>
        </w:rPr>
        <w:t>Target Users: Remediation engineers, real estate developers, brownfield redevelopment teams.</w:t>
        <w:br/>
        <w:t>Scenario: A commercial property developer acquiring a decommissioned industrial site must evaluate strict, joint, and several cleanup liability under CERCLA Superfund § 107 and cradle-to-grave waste compliance under RCRA Subtitle C.</w:t>
        <w:br/>
        <w:t>Green Guardian Solution: Synthesizes potentially responsible party (PRP) liability standards, bona fide prospective purchaser defenses, and National Priorities List (NPL) remediation procedures.</w:t>
      </w:r>
    </w:p>
    <w:p>
      <w:pPr>
        <w:spacing w:before="120" w:after="40"/>
      </w:pPr>
      <w:r>
        <w:rPr>
          <w:b/>
          <w:color w:val="064E3B"/>
          <w:sz w:val="22"/>
        </w:rPr>
        <w:t>• Use Case 6: Environmental Justice &amp; Grassroots Community Defense</w:t>
      </w:r>
    </w:p>
    <w:p>
      <w:pPr>
        <w:spacing w:after="120"/>
        <w:ind w:left="288"/>
      </w:pPr>
      <w:r>
        <w:rPr>
          <w:sz w:val="19"/>
        </w:rPr>
        <w:t>Target Users: Non-profit legal defense funds, frontline community organizers, public health advocates.</w:t>
        <w:br/>
        <w:t>Scenario: A community organization investigating chemical emissions and water runoff from an adjacent refinery seeks to file a citizen enforcement suit under Clean Air Act Section 304 and Clean Water Act Section 505.</w:t>
        <w:br/>
        <w:t>Green Guardian Solution: Translates dense statutory liability provisions into clear, actionable citizen compliance checklists, empowering local advocates with pro-bono level statutory research at zero cost.</w:t>
      </w:r>
    </w:p>
    <w:p>
      <w:pPr>
        <w:spacing w:before="120" w:after="40"/>
      </w:pPr>
      <w:r>
        <w:rPr>
          <w:b/>
          <w:color w:val="064E3B"/>
          <w:sz w:val="22"/>
        </w:rPr>
        <w:t>• Use Case 7: Global Climate Treaty Alignment &amp; International Policy (Paris Agreement NDCs)</w:t>
      </w:r>
    </w:p>
    <w:p>
      <w:pPr>
        <w:spacing w:after="120"/>
        <w:ind w:left="288"/>
      </w:pPr>
      <w:r>
        <w:rPr>
          <w:sz w:val="19"/>
        </w:rPr>
        <w:t>Target Users: International policy researchers, climate delegates, sovereign environmental ministries.</w:t>
        <w:br/>
        <w:t>Scenario: A delegation preparing for UNFCCC COP negotiations analyzes national compliance with Article 4 Nationally Determined Contributions (NDCs) and the 5-year ratcheting mechanism.</w:t>
        <w:br/>
        <w:t>Green Guardian Solution: Analyzes treaty obligations under Paris Agreement Article 4.2 and Article 4.3, cross-referencing global climate targets with Kunming-Montreal Target 3 biodiversity conservation mandates.</w:t>
      </w:r>
    </w:p>
    <w:p>
      <w:pPr>
        <w:spacing w:after="200"/>
      </w:pPr>
    </w:p>
    <w:p>
      <w:pPr>
        <w:spacing w:before="280" w:after="120"/>
      </w:pPr>
      <w:r>
        <w:rPr>
          <w:rFonts w:ascii="Calibri" w:hAnsi="Calibri"/>
          <w:b/>
          <w:color w:val="064E3B"/>
          <w:sz w:val="32"/>
        </w:rPr>
        <w:t>3. Architecture Diagram &amp; Technical Deep-Dive</w:t>
      </w:r>
    </w:p>
    <w:p>
      <w:pPr>
        <w:spacing w:after="160"/>
      </w:pPr>
      <w:r>
        <w:t>Green Guardian is engineered as an entirely serverless, high-throughput cognitive architecture deployed on Google Cloud Platform. Below is the end-to-end system topology and component dataflow:</w:t>
      </w:r>
    </w:p>
    <w:tbl>
      <w:tblPr>
        <w:tblW w:type="auto" w:w="0"/>
        <w:jc w:val="center"/>
        <w:tblLook w:firstColumn="1" w:firstRow="1" w:lastColumn="0" w:lastRow="0" w:noHBand="0" w:noVBand="1" w:val="04A0"/>
      </w:tblPr>
      <w:tblGrid>
        <w:gridCol w:w="9648"/>
      </w:tblGrid>
      <w:tr>
        <w:tc>
          <w:tcPr>
            <w:tcW w:type="dxa" w:w="9648"/>
            <w:shd w:fill="0F172A"/>
            <w:tcMar>
              <w:top w:w="140" w:type="dxa"/>
              <w:bottom w:w="140" w:type="dxa"/>
              <w:left w:w="180" w:type="dxa"/>
              <w:right w:w="180" w:type="dxa"/>
            </w:tcMar>
          </w:tcPr>
          <w:p>
            <w:pPr>
              <w:spacing w:after="0"/>
            </w:pPr>
            <w:r>
              <w:rPr>
                <w:rFonts w:ascii="Consolas" w:hAnsi="Consolas"/>
                <w:color w:val="34D399"/>
                <w:sz w:val="15"/>
              </w:rPr>
              <w:t>+---------------------------------------------------------------------------------------+</w:t>
              <w:br/>
              <w:t>|                       GREEN GUARDIAN SYSTEM ARCHITECTURE (GCP)                         |</w:t>
              <w:br/>
              <w:t>+---------------------------------------------------------------------------------------+</w:t>
              <w:br/>
              <w:br/>
              <w:t xml:space="preserve">       [ Client Web Browser / Mobile ] (HTTPS / Responsive Glassmorphic UI)</w:t>
              <w:br/>
              <w:t xml:space="preserve">                        │</w:t>
              <w:br/>
              <w:t xml:space="preserve">                        ▼  (User Question + Jurisdiction Scope Filter)</w:t>
              <w:br/>
              <w:t xml:space="preserve">       ┌────────────────────────────────────────────────────────────────────────┐</w:t>
              <w:br/>
              <w:t xml:space="preserve">       │             GOOGLE CLOUD RUN (Serverless Web Container)                │</w:t>
              <w:br/>
              <w:t xml:space="preserve">       │                                                                        │</w:t>
              <w:br/>
              <w:t xml:space="preserve">       │   1. Presentation &amp; Streamlit Runtime                                  │</w:t>
              <w:br/>
              <w:t xml:space="preserve">       │      • Token-by-Token Streaming Engine (st.write_stream)               │</w:t>
              <w:br/>
              <w:t xml:space="preserve">       │      • Jurisdiction Scope Filtering (US Federal / EU / Global)        │</w:t>
              <w:br/>
              <w:t xml:space="preserve">       │      • Download Dataset Exporter (JSON / CSV) &amp; Brief Export (.md)     │</w:t>
              <w:br/>
              <w:t xml:space="preserve">       │                                                                        │</w:t>
              <w:br/>
              <w:t xml:space="preserve">       │   2. Multi-Jurisdictional Hybrid Retrieval                             │</w:t>
              <w:br/>
              <w:t xml:space="preserve">       │      • Legal Acronym Query Expansion (NAAQS, NPDES, WOTUS, NDCs)       │</w:t>
              <w:br/>
              <w:t xml:space="preserve">       │      • Rank-BM25 Lexical Scoring over 4,495+ Statutory Provisions      │</w:t>
              <w:br/>
              <w:t xml:space="preserve">       │                                                                        │</w:t>
              <w:br/>
              <w:t xml:space="preserve">       │   3. Neural Cross-Encoder Reranker                                     │</w:t>
              <w:br/>
              <w:t xml:space="preserve">       │      • Sentence-Transformers (cross-encoder/ms-marco-MiniLM-L-6-v2)    │</w:t>
              <w:br/>
              <w:t xml:space="preserve">       │      • Sub-Millisecond Semantic Re-Scoring &amp; Operative Filtering       │</w:t>
              <w:br/>
              <w:t xml:space="preserve">       └───────────────────────────────────┬────────────────────────────────────┘</w:t>
              <w:br/>
              <w:t xml:space="preserve">                                           │</w:t>
              <w:br/>
              <w:t xml:space="preserve">                                           ▼  (Top Grounded Legal Excerpts)</w:t>
              <w:br/>
              <w:t xml:space="preserve">       ┌────────────────────────────────────────────────────────────────────────┐</w:t>
              <w:br/>
              <w:t xml:space="preserve">       │             GOOGLE VERTEX AI (Agent Platform / Gemini Engine)          │</w:t>
              <w:br/>
              <w:t xml:space="preserve">       │                                                                        │</w:t>
              <w:br/>
              <w:t xml:space="preserve">       │   4. Gemini 2.5 Flash Generative Inference                             │</w:t>
              <w:br/>
              <w:t xml:space="preserve">       │      • Enterprise ADC IAM Authentication (roles/aiplatform.user)      │</w:t>
              <w:br/>
              <w:t xml:space="preserve">       │      • Structured Legal QA Prompting (Breakdown, Defenses, Checklist)  │</w:t>
              <w:br/>
              <w:t xml:space="preserve">       │      • Real-Time Token Generation with Sub-0.5s Perceived Latency     │</w:t>
              <w:br/>
              <w:t xml:space="preserve">       │                                                                        │</w:t>
              <w:br/>
              <w:t xml:space="preserve">       │   5. Grounding &amp; Anti-Hallucination Verification Engine                 │</w:t>
              <w:br/>
              <w:t xml:space="preserve">       │      • Deterministic Statutory Citation Verification Matrix            │</w:t>
              <w:br/>
              <w:t xml:space="preserve">       │      • Grounding Confidence Score (e.g., High Statute-Verified 98%)    │</w:t>
              <w:br/>
              <w:t xml:space="preserve">       └───────────────────────────────────┬────────────────────────────────────┘</w:t>
              <w:br/>
              <w:t xml:space="preserve">                                           │</w:t>
              <w:br/>
              <w:t xml:space="preserve">                                           ▼  (Streamed Response + Verified Citations)</w:t>
              <w:br/>
              <w:t xml:space="preserve">       [ Rendered Legal Brief + Interactive Statutory Citations + Confidence Badge ]</w:t>
            </w:r>
          </w:p>
        </w:tc>
      </w:tr>
    </w:tbl>
    <w:p>
      <w:pPr>
        <w:spacing w:after="200"/>
      </w:pPr>
    </w:p>
    <w:p>
      <w:pPr>
        <w:spacing w:before="120" w:after="80"/>
      </w:pPr>
      <w:r>
        <w:rPr>
          <w:b/>
          <w:color w:val="064E3B"/>
          <w:sz w:val="23"/>
        </w:rPr>
        <w:t>Google Cloud Stack Services Breakdown:</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64E3B"/>
            <w:tcMar>
              <w:top w:w="100" w:type="dxa"/>
              <w:bottom w:w="100" w:type="dxa"/>
              <w:left w:w="120" w:type="dxa"/>
              <w:right w:w="120" w:type="dxa"/>
            </w:tcMar>
          </w:tcPr>
          <w:p>
            <w:r>
              <w:rPr>
                <w:b/>
                <w:color w:val="FFFFFF"/>
                <w:sz w:val="18"/>
              </w:rPr>
              <w:t>Google Cloud Service</w:t>
            </w:r>
          </w:p>
        </w:tc>
        <w:tc>
          <w:tcPr>
            <w:tcW w:type="dxa" w:w="3216"/>
            <w:shd w:fill="064E3B"/>
            <w:tcMar>
              <w:top w:w="100" w:type="dxa"/>
              <w:bottom w:w="100" w:type="dxa"/>
              <w:left w:w="120" w:type="dxa"/>
              <w:right w:w="120" w:type="dxa"/>
            </w:tcMar>
          </w:tcPr>
          <w:p>
            <w:r>
              <w:rPr>
                <w:b/>
                <w:color w:val="FFFFFF"/>
                <w:sz w:val="18"/>
              </w:rPr>
              <w:t>Architecture Role</w:t>
            </w:r>
          </w:p>
        </w:tc>
        <w:tc>
          <w:tcPr>
            <w:tcW w:type="dxa" w:w="3216"/>
            <w:shd w:fill="064E3B"/>
            <w:tcMar>
              <w:top w:w="100" w:type="dxa"/>
              <w:bottom w:w="100" w:type="dxa"/>
              <w:left w:w="120" w:type="dxa"/>
              <w:right w:w="120" w:type="dxa"/>
            </w:tcMar>
          </w:tcPr>
          <w:p>
            <w:r>
              <w:rPr>
                <w:b/>
                <w:color w:val="FFFFFF"/>
                <w:sz w:val="18"/>
              </w:rPr>
              <w:t>Functional Responsibility in Green Guardian</w:t>
            </w:r>
          </w:p>
        </w:tc>
      </w:tr>
      <w:tr>
        <w:tc>
          <w:tcPr>
            <w:tcW w:type="dxa" w:w="3216"/>
            <w:shd w:fill="F8FAFC"/>
            <w:tcMar>
              <w:top w:w="80" w:type="dxa"/>
              <w:bottom w:w="80" w:type="dxa"/>
              <w:left w:w="100" w:type="dxa"/>
              <w:right w:w="100" w:type="dxa"/>
            </w:tcMar>
          </w:tcPr>
          <w:p>
            <w:r>
              <w:rPr>
                <w:b/>
                <w:color w:val="064E3B"/>
                <w:sz w:val="17"/>
              </w:rPr>
              <w:t>Google Vertex AI (Agent Platform)</w:t>
            </w:r>
          </w:p>
        </w:tc>
        <w:tc>
          <w:tcPr>
            <w:tcW w:type="dxa" w:w="3216"/>
            <w:shd w:fill="F8FAFC"/>
            <w:tcMar>
              <w:top w:w="80" w:type="dxa"/>
              <w:bottom w:w="80" w:type="dxa"/>
              <w:left w:w="100" w:type="dxa"/>
              <w:right w:w="100" w:type="dxa"/>
            </w:tcMar>
          </w:tcPr>
          <w:p>
            <w:r>
              <w:rPr>
                <w:b/>
                <w:color w:val="059669"/>
                <w:sz w:val="17"/>
              </w:rPr>
              <w:t>Reasoning &amp; Inference Engine</w:t>
            </w:r>
          </w:p>
        </w:tc>
        <w:tc>
          <w:tcPr>
            <w:tcW w:type="dxa" w:w="3216"/>
            <w:shd w:fill="F8FAFC"/>
            <w:tcMar>
              <w:top w:w="80" w:type="dxa"/>
              <w:bottom w:w="80" w:type="dxa"/>
              <w:left w:w="100" w:type="dxa"/>
              <w:right w:w="100" w:type="dxa"/>
            </w:tcMar>
          </w:tcPr>
          <w:p>
            <w:r>
              <w:rPr>
                <w:sz w:val="17"/>
              </w:rPr>
              <w:t>Powers legal reasoning, statutory analysis, and structured response synthesis using Gemini 2.5 Flash with custom legal system prompts.</w:t>
            </w:r>
          </w:p>
        </w:tc>
      </w:tr>
      <w:tr>
        <w:tc>
          <w:tcPr>
            <w:tcW w:type="dxa" w:w="3216"/>
            <w:shd w:fill="FFFFFF"/>
            <w:tcMar>
              <w:top w:w="80" w:type="dxa"/>
              <w:bottom w:w="80" w:type="dxa"/>
              <w:left w:w="100" w:type="dxa"/>
              <w:right w:w="100" w:type="dxa"/>
            </w:tcMar>
          </w:tcPr>
          <w:p>
            <w:r>
              <w:rPr>
                <w:b/>
                <w:color w:val="064E3B"/>
                <w:sz w:val="17"/>
              </w:rPr>
              <w:t>Google Cloud Run</w:t>
            </w:r>
          </w:p>
        </w:tc>
        <w:tc>
          <w:tcPr>
            <w:tcW w:type="dxa" w:w="3216"/>
            <w:shd w:fill="FFFFFF"/>
            <w:tcMar>
              <w:top w:w="80" w:type="dxa"/>
              <w:bottom w:w="80" w:type="dxa"/>
              <w:left w:w="100" w:type="dxa"/>
              <w:right w:w="100" w:type="dxa"/>
            </w:tcMar>
          </w:tcPr>
          <w:p>
            <w:r>
              <w:rPr>
                <w:b/>
                <w:color w:val="059669"/>
                <w:sz w:val="17"/>
              </w:rPr>
              <w:t>Serverless Container Hosting</w:t>
            </w:r>
          </w:p>
        </w:tc>
        <w:tc>
          <w:tcPr>
            <w:tcW w:type="dxa" w:w="3216"/>
            <w:shd w:fill="FFFFFF"/>
            <w:tcMar>
              <w:top w:w="80" w:type="dxa"/>
              <w:bottom w:w="80" w:type="dxa"/>
              <w:left w:w="100" w:type="dxa"/>
              <w:right w:w="100" w:type="dxa"/>
            </w:tcMar>
          </w:tcPr>
          <w:p>
            <w:r>
              <w:rPr>
                <w:sz w:val="17"/>
              </w:rPr>
              <w:t>Hosts the containerized web app with automatic scale-to-zero compute ($0 idle cost), sub-second cold starts, and public HTTPS endpoints.</w:t>
            </w:r>
          </w:p>
        </w:tc>
      </w:tr>
      <w:tr>
        <w:tc>
          <w:tcPr>
            <w:tcW w:type="dxa" w:w="3216"/>
            <w:shd w:fill="F8FAFC"/>
            <w:tcMar>
              <w:top w:w="80" w:type="dxa"/>
              <w:bottom w:w="80" w:type="dxa"/>
              <w:left w:w="100" w:type="dxa"/>
              <w:right w:w="100" w:type="dxa"/>
            </w:tcMar>
          </w:tcPr>
          <w:p>
            <w:r>
              <w:rPr>
                <w:b/>
                <w:color w:val="064E3B"/>
                <w:sz w:val="17"/>
              </w:rPr>
              <w:t>Google Artifact Registry</w:t>
            </w:r>
          </w:p>
        </w:tc>
        <w:tc>
          <w:tcPr>
            <w:tcW w:type="dxa" w:w="3216"/>
            <w:shd w:fill="F8FAFC"/>
            <w:tcMar>
              <w:top w:w="80" w:type="dxa"/>
              <w:bottom w:w="80" w:type="dxa"/>
              <w:left w:w="100" w:type="dxa"/>
              <w:right w:w="100" w:type="dxa"/>
            </w:tcMar>
          </w:tcPr>
          <w:p>
            <w:r>
              <w:rPr>
                <w:b/>
                <w:color w:val="059669"/>
                <w:sz w:val="17"/>
              </w:rPr>
              <w:t>Docker Image Registry</w:t>
            </w:r>
          </w:p>
        </w:tc>
        <w:tc>
          <w:tcPr>
            <w:tcW w:type="dxa" w:w="3216"/>
            <w:shd w:fill="F8FAFC"/>
            <w:tcMar>
              <w:top w:w="80" w:type="dxa"/>
              <w:bottom w:w="80" w:type="dxa"/>
              <w:left w:w="100" w:type="dxa"/>
              <w:right w:w="100" w:type="dxa"/>
            </w:tcMar>
          </w:tcPr>
          <w:p>
            <w:r>
              <w:rPr>
                <w:sz w:val="17"/>
              </w:rPr>
              <w:t>Stores secured, versioned production Docker container images (`pkg.dev/environment-rag/green-guardian-repo`).</w:t>
            </w:r>
          </w:p>
        </w:tc>
      </w:tr>
      <w:tr>
        <w:tc>
          <w:tcPr>
            <w:tcW w:type="dxa" w:w="3216"/>
            <w:shd w:fill="FFFFFF"/>
            <w:tcMar>
              <w:top w:w="80" w:type="dxa"/>
              <w:bottom w:w="80" w:type="dxa"/>
              <w:left w:w="100" w:type="dxa"/>
              <w:right w:w="100" w:type="dxa"/>
            </w:tcMar>
          </w:tcPr>
          <w:p>
            <w:r>
              <w:rPr>
                <w:b/>
                <w:color w:val="064E3B"/>
                <w:sz w:val="17"/>
              </w:rPr>
              <w:t>Google Cloud Build</w:t>
            </w:r>
          </w:p>
        </w:tc>
        <w:tc>
          <w:tcPr>
            <w:tcW w:type="dxa" w:w="3216"/>
            <w:shd w:fill="FFFFFF"/>
            <w:tcMar>
              <w:top w:w="80" w:type="dxa"/>
              <w:bottom w:w="80" w:type="dxa"/>
              <w:left w:w="100" w:type="dxa"/>
              <w:right w:w="100" w:type="dxa"/>
            </w:tcMar>
          </w:tcPr>
          <w:p>
            <w:r>
              <w:rPr>
                <w:b/>
                <w:color w:val="059669"/>
                <w:sz w:val="17"/>
              </w:rPr>
              <w:t>Serverless CI/CD Pipeline</w:t>
            </w:r>
          </w:p>
        </w:tc>
        <w:tc>
          <w:tcPr>
            <w:tcW w:type="dxa" w:w="3216"/>
            <w:shd w:fill="FFFFFF"/>
            <w:tcMar>
              <w:top w:w="80" w:type="dxa"/>
              <w:bottom w:w="80" w:type="dxa"/>
              <w:left w:w="100" w:type="dxa"/>
              <w:right w:w="100" w:type="dxa"/>
            </w:tcMar>
          </w:tcPr>
          <w:p>
            <w:r>
              <w:rPr>
                <w:sz w:val="17"/>
              </w:rPr>
              <w:t>Compiles Docker containers, pre-warms the Cross-Encoder model cache, and deploys images to Cloud Run automatically.</w:t>
            </w:r>
          </w:p>
        </w:tc>
      </w:tr>
      <w:tr>
        <w:tc>
          <w:tcPr>
            <w:tcW w:type="dxa" w:w="3216"/>
            <w:shd w:fill="F8FAFC"/>
            <w:tcMar>
              <w:top w:w="80" w:type="dxa"/>
              <w:bottom w:w="80" w:type="dxa"/>
              <w:left w:w="100" w:type="dxa"/>
              <w:right w:w="100" w:type="dxa"/>
            </w:tcMar>
          </w:tcPr>
          <w:p>
            <w:r>
              <w:rPr>
                <w:b/>
                <w:color w:val="064E3B"/>
                <w:sz w:val="17"/>
              </w:rPr>
              <w:t>Google Cloud Storage (GCS)</w:t>
            </w:r>
          </w:p>
        </w:tc>
        <w:tc>
          <w:tcPr>
            <w:tcW w:type="dxa" w:w="3216"/>
            <w:shd w:fill="F8FAFC"/>
            <w:tcMar>
              <w:top w:w="80" w:type="dxa"/>
              <w:bottom w:w="80" w:type="dxa"/>
              <w:left w:w="100" w:type="dxa"/>
              <w:right w:w="100" w:type="dxa"/>
            </w:tcMar>
          </w:tcPr>
          <w:p>
            <w:r>
              <w:rPr>
                <w:b/>
                <w:color w:val="059669"/>
                <w:sz w:val="17"/>
              </w:rPr>
              <w:t>Scalable Object Store</w:t>
            </w:r>
          </w:p>
        </w:tc>
        <w:tc>
          <w:tcPr>
            <w:tcW w:type="dxa" w:w="3216"/>
            <w:shd w:fill="F8FAFC"/>
            <w:tcMar>
              <w:top w:w="80" w:type="dxa"/>
              <w:bottom w:w="80" w:type="dxa"/>
              <w:left w:w="100" w:type="dxa"/>
              <w:right w:w="100" w:type="dxa"/>
            </w:tcMar>
          </w:tcPr>
          <w:p>
            <w:r>
              <w:rPr>
                <w:sz w:val="17"/>
              </w:rPr>
              <w:t>Stores official statutory PDF compilations, datasets, and knowledge index backups (`green-guardian-docs-environment-rag`).</w:t>
            </w:r>
          </w:p>
        </w:tc>
      </w:tr>
      <w:tr>
        <w:tc>
          <w:tcPr>
            <w:tcW w:type="dxa" w:w="3216"/>
            <w:shd w:fill="FFFFFF"/>
            <w:tcMar>
              <w:top w:w="80" w:type="dxa"/>
              <w:bottom w:w="80" w:type="dxa"/>
              <w:left w:w="100" w:type="dxa"/>
              <w:right w:w="100" w:type="dxa"/>
            </w:tcMar>
          </w:tcPr>
          <w:p>
            <w:r>
              <w:rPr>
                <w:b/>
                <w:color w:val="064E3B"/>
                <w:sz w:val="17"/>
              </w:rPr>
              <w:t>Google Cloud IAM &amp; ADC</w:t>
            </w:r>
          </w:p>
        </w:tc>
        <w:tc>
          <w:tcPr>
            <w:tcW w:type="dxa" w:w="3216"/>
            <w:shd w:fill="FFFFFF"/>
            <w:tcMar>
              <w:top w:w="80" w:type="dxa"/>
              <w:bottom w:w="80" w:type="dxa"/>
              <w:left w:w="100" w:type="dxa"/>
              <w:right w:w="100" w:type="dxa"/>
            </w:tcMar>
          </w:tcPr>
          <w:p>
            <w:r>
              <w:rPr>
                <w:b/>
                <w:color w:val="059669"/>
                <w:sz w:val="17"/>
              </w:rPr>
              <w:t>Keyless Enterprise Security</w:t>
            </w:r>
          </w:p>
        </w:tc>
        <w:tc>
          <w:tcPr>
            <w:tcW w:type="dxa" w:w="3216"/>
            <w:shd w:fill="FFFFFF"/>
            <w:tcMar>
              <w:top w:w="80" w:type="dxa"/>
              <w:bottom w:w="80" w:type="dxa"/>
              <w:left w:w="100" w:type="dxa"/>
              <w:right w:w="100" w:type="dxa"/>
            </w:tcMar>
          </w:tcPr>
          <w:p>
            <w:r>
              <w:rPr>
                <w:sz w:val="17"/>
              </w:rPr>
              <w:t>Enforces least-privilege security using Application Default Credentials (ADC) attached to `green-guardian-sa` (`roles/aiplatform.user`).</w:t>
            </w:r>
          </w:p>
        </w:tc>
      </w:tr>
      <w:tr>
        <w:tc>
          <w:tcPr>
            <w:tcW w:type="dxa" w:w="3216"/>
            <w:shd w:fill="F8FAFC"/>
            <w:tcMar>
              <w:top w:w="80" w:type="dxa"/>
              <w:bottom w:w="80" w:type="dxa"/>
              <w:left w:w="100" w:type="dxa"/>
              <w:right w:w="100" w:type="dxa"/>
            </w:tcMar>
          </w:tcPr>
          <w:p>
            <w:r>
              <w:rPr>
                <w:b/>
                <w:color w:val="064E3B"/>
                <w:sz w:val="17"/>
              </w:rPr>
              <w:t>Vertex AI Agent Builder / Discovery Engine</w:t>
            </w:r>
          </w:p>
        </w:tc>
        <w:tc>
          <w:tcPr>
            <w:tcW w:type="dxa" w:w="3216"/>
            <w:shd w:fill="F8FAFC"/>
            <w:tcMar>
              <w:top w:w="80" w:type="dxa"/>
              <w:bottom w:w="80" w:type="dxa"/>
              <w:left w:w="100" w:type="dxa"/>
              <w:right w:w="100" w:type="dxa"/>
            </w:tcMar>
          </w:tcPr>
          <w:p>
            <w:r>
              <w:rPr>
                <w:b/>
                <w:color w:val="059669"/>
                <w:sz w:val="17"/>
              </w:rPr>
              <w:t>Enterprise Corpus Search</w:t>
            </w:r>
          </w:p>
        </w:tc>
        <w:tc>
          <w:tcPr>
            <w:tcW w:type="dxa" w:w="3216"/>
            <w:shd w:fill="F8FAFC"/>
            <w:tcMar>
              <w:top w:w="80" w:type="dxa"/>
              <w:bottom w:w="80" w:type="dxa"/>
              <w:left w:w="100" w:type="dxa"/>
              <w:right w:w="100" w:type="dxa"/>
            </w:tcMar>
          </w:tcPr>
          <w:p>
            <w:r>
              <w:rPr>
                <w:sz w:val="17"/>
              </w:rPr>
              <w:t>Integrates multi-statute corpus indexing and discovery search capabilities across large-scale document repositories.</w:t>
            </w:r>
          </w:p>
        </w:tc>
      </w:tr>
    </w:tbl>
    <w:p>
      <w:pPr>
        <w:spacing w:before="160" w:after="80"/>
      </w:pPr>
      <w:r>
        <w:rPr>
          <w:b/>
          <w:color w:val="064E3B"/>
          <w:sz w:val="23"/>
        </w:rPr>
        <w:t>Supporting Technologies &amp; Open-Source Libraries:</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64E3B"/>
            <w:tcMar>
              <w:top w:w="100" w:type="dxa"/>
              <w:bottom w:w="100" w:type="dxa"/>
              <w:left w:w="120" w:type="dxa"/>
              <w:right w:w="120" w:type="dxa"/>
            </w:tcMar>
          </w:tcPr>
          <w:p>
            <w:r>
              <w:rPr>
                <w:b/>
                <w:color w:val="FFFFFF"/>
                <w:sz w:val="18"/>
              </w:rPr>
              <w:t>Technology / Library</w:t>
            </w:r>
          </w:p>
        </w:tc>
        <w:tc>
          <w:tcPr>
            <w:tcW w:type="dxa" w:w="3216"/>
            <w:shd w:fill="064E3B"/>
            <w:tcMar>
              <w:top w:w="100" w:type="dxa"/>
              <w:bottom w:w="100" w:type="dxa"/>
              <w:left w:w="120" w:type="dxa"/>
              <w:right w:w="120" w:type="dxa"/>
            </w:tcMar>
          </w:tcPr>
          <w:p>
            <w:r>
              <w:rPr>
                <w:b/>
                <w:color w:val="FFFFFF"/>
                <w:sz w:val="18"/>
              </w:rPr>
              <w:t>Category</w:t>
            </w:r>
          </w:p>
        </w:tc>
        <w:tc>
          <w:tcPr>
            <w:tcW w:type="dxa" w:w="3216"/>
            <w:shd w:fill="064E3B"/>
            <w:tcMar>
              <w:top w:w="100" w:type="dxa"/>
              <w:bottom w:w="100" w:type="dxa"/>
              <w:left w:w="120" w:type="dxa"/>
              <w:right w:w="120" w:type="dxa"/>
            </w:tcMar>
          </w:tcPr>
          <w:p>
            <w:r>
              <w:rPr>
                <w:b/>
                <w:color w:val="FFFFFF"/>
                <w:sz w:val="18"/>
              </w:rPr>
              <w:t>Implementation Purpose</w:t>
            </w:r>
          </w:p>
        </w:tc>
      </w:tr>
      <w:tr>
        <w:tc>
          <w:tcPr>
            <w:tcW w:type="dxa" w:w="3216"/>
            <w:shd w:fill="F8FAFC"/>
            <w:tcMar>
              <w:top w:w="80" w:type="dxa"/>
              <w:bottom w:w="80" w:type="dxa"/>
              <w:left w:w="100" w:type="dxa"/>
              <w:right w:w="100" w:type="dxa"/>
            </w:tcMar>
          </w:tcPr>
          <w:p>
            <w:r>
              <w:rPr>
                <w:b/>
                <w:color w:val="064E3B"/>
                <w:sz w:val="17"/>
              </w:rPr>
              <w:t>Python 3.11</w:t>
            </w:r>
          </w:p>
        </w:tc>
        <w:tc>
          <w:tcPr>
            <w:tcW w:type="dxa" w:w="3216"/>
            <w:shd w:fill="F8FAFC"/>
            <w:tcMar>
              <w:top w:w="80" w:type="dxa"/>
              <w:bottom w:w="80" w:type="dxa"/>
              <w:left w:w="100" w:type="dxa"/>
              <w:right w:w="100" w:type="dxa"/>
            </w:tcMar>
          </w:tcPr>
          <w:p>
            <w:r>
              <w:rPr>
                <w:b/>
                <w:color w:val="059669"/>
                <w:sz w:val="17"/>
              </w:rPr>
              <w:t>Runtime Environment</w:t>
            </w:r>
          </w:p>
        </w:tc>
        <w:tc>
          <w:tcPr>
            <w:tcW w:type="dxa" w:w="3216"/>
            <w:shd w:fill="F8FAFC"/>
            <w:tcMar>
              <w:top w:w="80" w:type="dxa"/>
              <w:bottom w:w="80" w:type="dxa"/>
              <w:left w:w="100" w:type="dxa"/>
              <w:right w:w="100" w:type="dxa"/>
            </w:tcMar>
          </w:tcPr>
          <w:p>
            <w:r>
              <w:rPr>
                <w:sz w:val="17"/>
              </w:rPr>
              <w:t>Primary programming language for RAG orchestration, parsing, and web serving.</w:t>
            </w:r>
          </w:p>
        </w:tc>
      </w:tr>
      <w:tr>
        <w:tc>
          <w:tcPr>
            <w:tcW w:type="dxa" w:w="3216"/>
            <w:shd w:fill="FFFFFF"/>
            <w:tcMar>
              <w:top w:w="80" w:type="dxa"/>
              <w:bottom w:w="80" w:type="dxa"/>
              <w:left w:w="100" w:type="dxa"/>
              <w:right w:w="100" w:type="dxa"/>
            </w:tcMar>
          </w:tcPr>
          <w:p>
            <w:r>
              <w:rPr>
                <w:b/>
                <w:color w:val="064E3B"/>
                <w:sz w:val="17"/>
              </w:rPr>
              <w:t>Streamlit 1.38+</w:t>
            </w:r>
          </w:p>
        </w:tc>
        <w:tc>
          <w:tcPr>
            <w:tcW w:type="dxa" w:w="3216"/>
            <w:shd w:fill="FFFFFF"/>
            <w:tcMar>
              <w:top w:w="80" w:type="dxa"/>
              <w:bottom w:w="80" w:type="dxa"/>
              <w:left w:w="100" w:type="dxa"/>
              <w:right w:w="100" w:type="dxa"/>
            </w:tcMar>
          </w:tcPr>
          <w:p>
            <w:r>
              <w:rPr>
                <w:b/>
                <w:color w:val="059669"/>
                <w:sz w:val="17"/>
              </w:rPr>
              <w:t>Web Application Framework</w:t>
            </w:r>
          </w:p>
        </w:tc>
        <w:tc>
          <w:tcPr>
            <w:tcW w:type="dxa" w:w="3216"/>
            <w:shd w:fill="FFFFFF"/>
            <w:tcMar>
              <w:top w:w="80" w:type="dxa"/>
              <w:bottom w:w="80" w:type="dxa"/>
              <w:left w:w="100" w:type="dxa"/>
              <w:right w:w="100" w:type="dxa"/>
            </w:tcMar>
          </w:tcPr>
          <w:p>
            <w:r>
              <w:rPr>
                <w:sz w:val="17"/>
              </w:rPr>
              <w:t>Powers responsive dark glassmorphism UI, token streaming, dataset downloads, and export buttons.</w:t>
            </w:r>
          </w:p>
        </w:tc>
      </w:tr>
      <w:tr>
        <w:tc>
          <w:tcPr>
            <w:tcW w:type="dxa" w:w="3216"/>
            <w:shd w:fill="F8FAFC"/>
            <w:tcMar>
              <w:top w:w="80" w:type="dxa"/>
              <w:bottom w:w="80" w:type="dxa"/>
              <w:left w:w="100" w:type="dxa"/>
              <w:right w:w="100" w:type="dxa"/>
            </w:tcMar>
          </w:tcPr>
          <w:p>
            <w:r>
              <w:rPr>
                <w:b/>
                <w:color w:val="064E3B"/>
                <w:sz w:val="17"/>
              </w:rPr>
              <w:t>Rank-BM25 (BM25Okapi)</w:t>
            </w:r>
          </w:p>
        </w:tc>
        <w:tc>
          <w:tcPr>
            <w:tcW w:type="dxa" w:w="3216"/>
            <w:shd w:fill="F8FAFC"/>
            <w:tcMar>
              <w:top w:w="80" w:type="dxa"/>
              <w:bottom w:w="80" w:type="dxa"/>
              <w:left w:w="100" w:type="dxa"/>
              <w:right w:w="100" w:type="dxa"/>
            </w:tcMar>
          </w:tcPr>
          <w:p>
            <w:r>
              <w:rPr>
                <w:b/>
                <w:color w:val="059669"/>
                <w:sz w:val="17"/>
              </w:rPr>
              <w:t>Lexical Retrieval</w:t>
            </w:r>
          </w:p>
        </w:tc>
        <w:tc>
          <w:tcPr>
            <w:tcW w:type="dxa" w:w="3216"/>
            <w:shd w:fill="F8FAFC"/>
            <w:tcMar>
              <w:top w:w="80" w:type="dxa"/>
              <w:bottom w:w="80" w:type="dxa"/>
              <w:left w:w="100" w:type="dxa"/>
              <w:right w:w="100" w:type="dxa"/>
            </w:tcMar>
          </w:tcPr>
          <w:p>
            <w:r>
              <w:rPr>
                <w:sz w:val="17"/>
              </w:rPr>
              <w:t>Fast lexical keyword retrieval over 4,495+ statutory chunks with custom acronym expansion.</w:t>
            </w:r>
          </w:p>
        </w:tc>
      </w:tr>
      <w:tr>
        <w:tc>
          <w:tcPr>
            <w:tcW w:type="dxa" w:w="3216"/>
            <w:shd w:fill="FFFFFF"/>
            <w:tcMar>
              <w:top w:w="80" w:type="dxa"/>
              <w:bottom w:w="80" w:type="dxa"/>
              <w:left w:w="100" w:type="dxa"/>
              <w:right w:w="100" w:type="dxa"/>
            </w:tcMar>
          </w:tcPr>
          <w:p>
            <w:r>
              <w:rPr>
                <w:b/>
                <w:color w:val="064E3B"/>
                <w:sz w:val="17"/>
              </w:rPr>
              <w:t>Sentence-Transformers</w:t>
            </w:r>
          </w:p>
        </w:tc>
        <w:tc>
          <w:tcPr>
            <w:tcW w:type="dxa" w:w="3216"/>
            <w:shd w:fill="FFFFFF"/>
            <w:tcMar>
              <w:top w:w="80" w:type="dxa"/>
              <w:bottom w:w="80" w:type="dxa"/>
              <w:left w:w="100" w:type="dxa"/>
              <w:right w:w="100" w:type="dxa"/>
            </w:tcMar>
          </w:tcPr>
          <w:p>
            <w:r>
              <w:rPr>
                <w:b/>
                <w:color w:val="059669"/>
                <w:sz w:val="17"/>
              </w:rPr>
              <w:t>Neural NLP Reranking</w:t>
            </w:r>
          </w:p>
        </w:tc>
        <w:tc>
          <w:tcPr>
            <w:tcW w:type="dxa" w:w="3216"/>
            <w:shd w:fill="FFFFFF"/>
            <w:tcMar>
              <w:top w:w="80" w:type="dxa"/>
              <w:bottom w:w="80" w:type="dxa"/>
              <w:left w:w="100" w:type="dxa"/>
              <w:right w:w="100" w:type="dxa"/>
            </w:tcMar>
          </w:tcPr>
          <w:p>
            <w:r>
              <w:rPr>
                <w:sz w:val="17"/>
              </w:rPr>
              <w:t>Runs Cross-Encoder (`cross-encoder/ms-marco-MiniLM-L-6-v2`) for sub-millisecond semantic reranking.</w:t>
            </w:r>
          </w:p>
        </w:tc>
      </w:tr>
      <w:tr>
        <w:tc>
          <w:tcPr>
            <w:tcW w:type="dxa" w:w="3216"/>
            <w:shd w:fill="F8FAFC"/>
            <w:tcMar>
              <w:top w:w="80" w:type="dxa"/>
              <w:bottom w:w="80" w:type="dxa"/>
              <w:left w:w="100" w:type="dxa"/>
              <w:right w:w="100" w:type="dxa"/>
            </w:tcMar>
          </w:tcPr>
          <w:p>
            <w:r>
              <w:rPr>
                <w:b/>
                <w:color w:val="064E3B"/>
                <w:sz w:val="17"/>
              </w:rPr>
              <w:t>PyMuPDF (fitz)</w:t>
            </w:r>
          </w:p>
        </w:tc>
        <w:tc>
          <w:tcPr>
            <w:tcW w:type="dxa" w:w="3216"/>
            <w:shd w:fill="F8FAFC"/>
            <w:tcMar>
              <w:top w:w="80" w:type="dxa"/>
              <w:bottom w:w="80" w:type="dxa"/>
              <w:left w:w="100" w:type="dxa"/>
              <w:right w:w="100" w:type="dxa"/>
            </w:tcMar>
          </w:tcPr>
          <w:p>
            <w:r>
              <w:rPr>
                <w:b/>
                <w:color w:val="059669"/>
                <w:sz w:val="17"/>
              </w:rPr>
              <w:t>Document Parsing</w:t>
            </w:r>
          </w:p>
        </w:tc>
        <w:tc>
          <w:tcPr>
            <w:tcW w:type="dxa" w:w="3216"/>
            <w:shd w:fill="F8FAFC"/>
            <w:tcMar>
              <w:top w:w="80" w:type="dxa"/>
              <w:bottom w:w="80" w:type="dxa"/>
              <w:left w:w="100" w:type="dxa"/>
              <w:right w:w="100" w:type="dxa"/>
            </w:tcMar>
          </w:tcPr>
          <w:p>
            <w:r>
              <w:rPr>
                <w:sz w:val="17"/>
              </w:rPr>
              <w:t>Performs layout-aware extraction of statutory PDFs with section demarcation and page tracking.</w:t>
            </w:r>
          </w:p>
        </w:tc>
      </w:tr>
      <w:tr>
        <w:tc>
          <w:tcPr>
            <w:tcW w:type="dxa" w:w="3216"/>
            <w:shd w:fill="FFFFFF"/>
            <w:tcMar>
              <w:top w:w="80" w:type="dxa"/>
              <w:bottom w:w="80" w:type="dxa"/>
              <w:left w:w="100" w:type="dxa"/>
              <w:right w:w="100" w:type="dxa"/>
            </w:tcMar>
          </w:tcPr>
          <w:p>
            <w:r>
              <w:rPr>
                <w:b/>
                <w:color w:val="064E3B"/>
                <w:sz w:val="17"/>
              </w:rPr>
              <w:t>Pydantic v2 &amp; NumPy</w:t>
            </w:r>
          </w:p>
        </w:tc>
        <w:tc>
          <w:tcPr>
            <w:tcW w:type="dxa" w:w="3216"/>
            <w:shd w:fill="FFFFFF"/>
            <w:tcMar>
              <w:top w:w="80" w:type="dxa"/>
              <w:bottom w:w="80" w:type="dxa"/>
              <w:left w:w="100" w:type="dxa"/>
              <w:right w:w="100" w:type="dxa"/>
            </w:tcMar>
          </w:tcPr>
          <w:p>
            <w:r>
              <w:rPr>
                <w:b/>
                <w:color w:val="059669"/>
                <w:sz w:val="17"/>
              </w:rPr>
              <w:t>Data Validation &amp; Math</w:t>
            </w:r>
          </w:p>
        </w:tc>
        <w:tc>
          <w:tcPr>
            <w:tcW w:type="dxa" w:w="3216"/>
            <w:shd w:fill="FFFFFF"/>
            <w:tcMar>
              <w:top w:w="80" w:type="dxa"/>
              <w:bottom w:w="80" w:type="dxa"/>
              <w:left w:w="100" w:type="dxa"/>
              <w:right w:w="100" w:type="dxa"/>
            </w:tcMar>
          </w:tcPr>
          <w:p>
            <w:r>
              <w:rPr>
                <w:sz w:val="17"/>
              </w:rPr>
              <w:t>Ensures strict schema validation, structured JSON serialization, and vector calculations.</w:t>
            </w:r>
          </w:p>
        </w:tc>
      </w:tr>
      <w:tr>
        <w:tc>
          <w:tcPr>
            <w:tcW w:type="dxa" w:w="3216"/>
            <w:shd w:fill="F8FAFC"/>
            <w:tcMar>
              <w:top w:w="80" w:type="dxa"/>
              <w:bottom w:w="80" w:type="dxa"/>
              <w:left w:w="100" w:type="dxa"/>
              <w:right w:w="100" w:type="dxa"/>
            </w:tcMar>
          </w:tcPr>
          <w:p>
            <w:r>
              <w:rPr>
                <w:b/>
                <w:color w:val="064E3B"/>
                <w:sz w:val="17"/>
              </w:rPr>
              <w:t>Docker (Python 3.11-slim)</w:t>
            </w:r>
          </w:p>
        </w:tc>
        <w:tc>
          <w:tcPr>
            <w:tcW w:type="dxa" w:w="3216"/>
            <w:shd w:fill="F8FAFC"/>
            <w:tcMar>
              <w:top w:w="80" w:type="dxa"/>
              <w:bottom w:w="80" w:type="dxa"/>
              <w:left w:w="100" w:type="dxa"/>
              <w:right w:w="100" w:type="dxa"/>
            </w:tcMar>
          </w:tcPr>
          <w:p>
            <w:r>
              <w:rPr>
                <w:b/>
                <w:color w:val="059669"/>
                <w:sz w:val="17"/>
              </w:rPr>
              <w:t>Containerization</w:t>
            </w:r>
          </w:p>
        </w:tc>
        <w:tc>
          <w:tcPr>
            <w:tcW w:type="dxa" w:w="3216"/>
            <w:shd w:fill="F8FAFC"/>
            <w:tcMar>
              <w:top w:w="80" w:type="dxa"/>
              <w:bottom w:w="80" w:type="dxa"/>
              <w:left w:w="100" w:type="dxa"/>
              <w:right w:w="100" w:type="dxa"/>
            </w:tcMar>
          </w:tcPr>
          <w:p>
            <w:r>
              <w:rPr>
                <w:sz w:val="17"/>
              </w:rPr>
              <w:t>Lightweight Debian-based container pre-warmed for rapid sub-second Cloud Run execution.</w:t>
            </w:r>
          </w:p>
        </w:tc>
      </w:tr>
    </w:tbl>
    <w:p>
      <w:pPr>
        <w:spacing w:before="160" w:after="80"/>
      </w:pPr>
      <w:r>
        <w:rPr>
          <w:b/>
          <w:color w:val="064E3B"/>
          <w:sz w:val="23"/>
        </w:rPr>
        <w:t>Access, Testing &amp; Verification Instructions:</w:t>
      </w:r>
    </w:p>
    <w:p>
      <w:pPr>
        <w:spacing w:after="80"/>
      </w:pPr>
      <w:r>
        <w:t>The application is publicly accessible via web browser on Google Cloud Run with zero installation or login required. Evaluators can test the system in 4 steps:</w:t>
      </w:r>
    </w:p>
    <w:p>
      <w:pPr>
        <w:pStyle w:val="ListBullet"/>
        <w:spacing w:after="60"/>
      </w:pPr>
      <w:r>
        <w:rPr>
          <w:b/>
          <w:color w:val="064E3B"/>
        </w:rPr>
        <w:t xml:space="preserve">1. One-Click Suggested Prompts: </w:t>
      </w:r>
      <w:r>
        <w:t>Click any of the 6 quick inquiry buttons (e.g., '🌲 NEPA EIS vs EA Triggers', '💧 Clean Water Act NPDES Permitting', '🌍 Paris Agreement NDCs') to trigger sub-second streaming answers.</w:t>
      </w:r>
    </w:p>
    <w:p>
      <w:pPr>
        <w:pStyle w:val="ListBullet"/>
        <w:spacing w:after="60"/>
      </w:pPr>
      <w:r>
        <w:rPr>
          <w:b/>
          <w:color w:val="064E3B"/>
        </w:rPr>
        <w:t xml:space="preserve">2. Custom Inquiries with Jurisdiction Filtering: </w:t>
      </w:r>
      <w:r>
        <w:t>Select a jurisdiction scope (All, U.S. Federal, EU Directives, Global Treaties) and enter custom legal inquiries into the bottom chat box.</w:t>
      </w:r>
    </w:p>
    <w:p>
      <w:pPr>
        <w:pStyle w:val="ListBullet"/>
        <w:spacing w:after="60"/>
      </w:pPr>
      <w:r>
        <w:rPr>
          <w:b/>
          <w:color w:val="064E3B"/>
        </w:rPr>
        <w:t xml:space="preserve">3. Inspect Grounded Citations &amp; Confidence Rank: </w:t>
      </w:r>
      <w:r>
        <w:t>Expand the '📜 Grounded Statutory Citations' accordion to inspect exact statutory excerpts, section numbers, page numbers, and neural match scores.</w:t>
      </w:r>
    </w:p>
    <w:p>
      <w:pPr>
        <w:pStyle w:val="ListBullet"/>
        <w:spacing w:after="60"/>
      </w:pPr>
      <w:r>
        <w:rPr>
          <w:b/>
          <w:color w:val="064E3B"/>
        </w:rPr>
        <w:t xml:space="preserve">4. Export Reports &amp; Download Datasets: </w:t>
      </w:r>
      <w:r>
        <w:t>Click '📄 Export Compliance Brief' under any answer to download a formatted Markdown report, or visit the '📚 Knowledge Base' tab to download the entire 4,495+ provision dataset in JSON or CSV.</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Google Cloud Platform • Google Pachamama Challenge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Green Guardian • Mandatory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