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64E3B"/>
          <w:sz w:val="40"/>
        </w:rPr>
        <w:t>🌿 GREEN GUARDIAN: TECHNICAL WHITEPAPER &amp; EXECUTIVE PRESENTATION</w:t>
      </w:r>
    </w:p>
    <w:p>
      <w:r>
        <w:rPr>
          <w:color w:val="059669"/>
          <w:sz w:val="24"/>
        </w:rPr>
        <w:t>Enterprise Environmental Law AI &amp; Statutory Verification Engine on Google Cloud</w:t>
      </w:r>
    </w:p>
    <w:p>
      <w:r>
        <w:rPr>
          <w:color w:val="64748B"/>
          <w:sz w:val="19"/>
        </w:rPr>
        <w:t>Event: Google Pachamama Challenge | Platform: Google Cloud Platform | Models: Gemini 2.0 Flash &amp; Pro</w:t>
      </w:r>
    </w:p>
    <w:p>
      <w:pPr>
        <w:pStyle w:val="Heading1"/>
      </w:pPr>
      <w:r>
        <w:t>1. Executive Summary &amp; Vision</w:t>
      </w:r>
    </w:p>
    <w:p>
      <w:r>
        <w:t>Green Guardian is an enterprise-grade, layout-aware legal cognitive agent engineered for the Google Pachamama challenge. Environmental legislation is among the most fragmented and dense bodies of law in the world, spanning federal acts (Clean Air Act, NEPA, ESA), European Union Directives, and international climate treaties. Grassroots advocates, attorneys, and compliance officers struggle to verify cross-statutory compliance without expensive legal retainers. Generic AI models fail because they hallucinate section numbers and miss layout structures.</w:t>
        <w:br/>
        <w:br/>
        <w:t>Green Guardian solves this by pioneering a Blended Cognitive Architecture on Google Cloud: combining authoritative statutory texts (4,495 chunks), transformer-based Cross-Encoder neural reranking, Gemini 2.0 Flash reasoning, and an automated Self-Verification &amp; Anti-Hallucination Audit Engine.</w:t>
      </w:r>
    </w:p>
    <w:p>
      <w:pPr>
        <w:pStyle w:val="Heading1"/>
      </w:pPr>
      <w:r>
        <w:t>2. Key Accomplishments &amp; Technical Highlights</w:t>
      </w:r>
    </w:p>
    <w:p>
      <w:pPr>
        <w:pStyle w:val="ListBullet"/>
      </w:pPr>
      <w:r>
        <w:t>• Unified Multi-Jurisdiction Corpus: Ingested 52 primary legal instruments into 4,495 layout-aware chunks across US Federal, EU, and UN treaties.</w:t>
      </w:r>
    </w:p>
    <w:p>
      <w:pPr>
        <w:pStyle w:val="ListBullet"/>
      </w:pPr>
      <w:r>
        <w:t>• Anti-Hallucination Verification Loop: Built an automated secondary Gemini audit engine in rag/verify.py that verifies claims and outputs a Confidence Rank (0-100%).</w:t>
      </w:r>
    </w:p>
    <w:p>
      <w:pPr>
        <w:pStyle w:val="ListBullet"/>
      </w:pPr>
      <w:r>
        <w:t>• Pinpoint Statutory Citations: Every answer extracts exact Act Name, Title, Section (§), and Page Numbers with snippet previews.</w:t>
      </w:r>
    </w:p>
    <w:p>
      <w:pPr>
        <w:pStyle w:val="ListBullet"/>
      </w:pPr>
      <w:r>
        <w:t>• Gemini 2.0 Flash Integration: Ultra-fast generation speed, 300+ RPM throughput, and deep statutory reasoning.</w:t>
      </w:r>
    </w:p>
    <w:p>
      <w:pPr>
        <w:pStyle w:val="ListBullet"/>
      </w:pPr>
      <w:r>
        <w:t>• 100% Serverless &amp; Budget Protected: Deployed to Google Cloud Run with scale-to-zero compute (costing &lt;$3.00 of a $300 credit).</w:t>
      </w:r>
    </w:p>
    <w:p>
      <w:pPr>
        <w:pStyle w:val="ListBullet"/>
      </w:pPr>
      <w:r>
        <w:t>• Conversational Chat UI: Full multi-turn chat experience in Streamlit with real-time audit badges and golden demo prompts.</w:t>
      </w:r>
    </w:p>
    <w:p>
      <w:pPr>
        <w:pStyle w:val="Heading1"/>
      </w:pPr>
      <w:r>
        <w:t>3. Comprehensive Legal Knowledge Corpus (52 Instruments)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Statute / Treaty</w:t>
            </w:r>
          </w:p>
        </w:tc>
        <w:tc>
          <w:tcPr>
            <w:tcW w:type="dxa" w:w="2520"/>
          </w:tcPr>
          <w:p>
            <w:r>
              <w:t>Legal Citation</w:t>
            </w:r>
          </w:p>
        </w:tc>
        <w:tc>
          <w:tcPr>
            <w:tcW w:type="dxa" w:w="2520"/>
          </w:tcPr>
          <w:p>
            <w:r>
              <w:t>Key Provisions</w:t>
            </w:r>
          </w:p>
        </w:tc>
        <w:tc>
          <w:tcPr>
            <w:tcW w:type="dxa" w:w="2520"/>
          </w:tcPr>
          <w:p>
            <w:r>
              <w:t>Chunks</w:t>
            </w:r>
          </w:p>
        </w:tc>
      </w:tr>
      <w:tr>
        <w:tc>
          <w:tcPr>
            <w:tcW w:type="dxa" w:w="2520"/>
          </w:tcPr>
          <w:p>
            <w:r>
              <w:t>Clean Air Act (CAA)</w:t>
            </w:r>
          </w:p>
        </w:tc>
        <w:tc>
          <w:tcPr>
            <w:tcW w:type="dxa" w:w="2520"/>
          </w:tcPr>
          <w:p>
            <w:r>
              <w:t>42 U.S.C. § 7401</w:t>
            </w:r>
          </w:p>
        </w:tc>
        <w:tc>
          <w:tcPr>
            <w:tcW w:type="dxa" w:w="2520"/>
          </w:tcPr>
          <w:p>
            <w:r>
              <w:t>NAAQS (§109), SIPs (§110), Air Toxics (§112)</w:t>
            </w:r>
          </w:p>
        </w:tc>
        <w:tc>
          <w:tcPr>
            <w:tcW w:type="dxa" w:w="2520"/>
          </w:tcPr>
          <w:p>
            <w:r>
              <w:t>1,195</w:t>
            </w:r>
          </w:p>
        </w:tc>
      </w:tr>
      <w:tr>
        <w:tc>
          <w:tcPr>
            <w:tcW w:type="dxa" w:w="2520"/>
          </w:tcPr>
          <w:p>
            <w:r>
              <w:t>Clean Water Act (CWA)</w:t>
            </w:r>
          </w:p>
        </w:tc>
        <w:tc>
          <w:tcPr>
            <w:tcW w:type="dxa" w:w="2520"/>
          </w:tcPr>
          <w:p>
            <w:r>
              <w:t>33 U.S.C. § 1251</w:t>
            </w:r>
          </w:p>
        </w:tc>
        <w:tc>
          <w:tcPr>
            <w:tcW w:type="dxa" w:w="2520"/>
          </w:tcPr>
          <w:p>
            <w:r>
              <w:t>NPDES Permits (§402), Effluent Limits (§301), WOTUS</w:t>
            </w:r>
          </w:p>
        </w:tc>
        <w:tc>
          <w:tcPr>
            <w:tcW w:type="dxa" w:w="2520"/>
          </w:tcPr>
          <w:p>
            <w:r>
              <w:t>827</w:t>
            </w:r>
          </w:p>
        </w:tc>
      </w:tr>
      <w:tr>
        <w:tc>
          <w:tcPr>
            <w:tcW w:type="dxa" w:w="2520"/>
          </w:tcPr>
          <w:p>
            <w:r>
              <w:t>Resource Conservation (RCRA)</w:t>
            </w:r>
          </w:p>
        </w:tc>
        <w:tc>
          <w:tcPr>
            <w:tcW w:type="dxa" w:w="2520"/>
          </w:tcPr>
          <w:p>
            <w:r>
              <w:t>42 U.S.C. § 6901</w:t>
            </w:r>
          </w:p>
        </w:tc>
        <w:tc>
          <w:tcPr>
            <w:tcW w:type="dxa" w:w="2520"/>
          </w:tcPr>
          <w:p>
            <w:r>
              <w:t>Cradle-to-grave hazardous waste, Subtitle C/D</w:t>
            </w:r>
          </w:p>
        </w:tc>
        <w:tc>
          <w:tcPr>
            <w:tcW w:type="dxa" w:w="2520"/>
          </w:tcPr>
          <w:p>
            <w:r>
              <w:t>509</w:t>
            </w:r>
          </w:p>
        </w:tc>
      </w:tr>
      <w:tr>
        <w:tc>
          <w:tcPr>
            <w:tcW w:type="dxa" w:w="2520"/>
          </w:tcPr>
          <w:p>
            <w:r>
              <w:t>Superfund (CERCLA)</w:t>
            </w:r>
          </w:p>
        </w:tc>
        <w:tc>
          <w:tcPr>
            <w:tcW w:type="dxa" w:w="2520"/>
          </w:tcPr>
          <w:p>
            <w:r>
              <w:t>42 U.S.C. § 9601</w:t>
            </w:r>
          </w:p>
        </w:tc>
        <w:tc>
          <w:tcPr>
            <w:tcW w:type="dxa" w:w="2520"/>
          </w:tcPr>
          <w:p>
            <w:r>
              <w:t>PRP cleanup liability (§107), Superfund sites</w:t>
            </w:r>
          </w:p>
        </w:tc>
        <w:tc>
          <w:tcPr>
            <w:tcW w:type="dxa" w:w="2520"/>
          </w:tcPr>
          <w:p>
            <w:r>
              <w:t>420</w:t>
            </w:r>
          </w:p>
        </w:tc>
      </w:tr>
      <w:tr>
        <w:tc>
          <w:tcPr>
            <w:tcW w:type="dxa" w:w="2520"/>
          </w:tcPr>
          <w:p>
            <w:r>
              <w:t>Safe Drinking Water (SDWA)</w:t>
            </w:r>
          </w:p>
        </w:tc>
        <w:tc>
          <w:tcPr>
            <w:tcW w:type="dxa" w:w="2520"/>
          </w:tcPr>
          <w:p>
            <w:r>
              <w:t>42 U.S.C. § 300f</w:t>
            </w:r>
          </w:p>
        </w:tc>
        <w:tc>
          <w:tcPr>
            <w:tcW w:type="dxa" w:w="2520"/>
          </w:tcPr>
          <w:p>
            <w:r>
              <w:t>Public water systems, Maximum Contaminant Levels</w:t>
            </w:r>
          </w:p>
        </w:tc>
        <w:tc>
          <w:tcPr>
            <w:tcW w:type="dxa" w:w="2520"/>
          </w:tcPr>
          <w:p>
            <w:r>
              <w:t>392</w:t>
            </w:r>
          </w:p>
        </w:tc>
      </w:tr>
      <w:tr>
        <w:tc>
          <w:tcPr>
            <w:tcW w:type="dxa" w:w="2520"/>
          </w:tcPr>
          <w:p>
            <w:r>
              <w:t>Endangered Species Act (ESA)</w:t>
            </w:r>
          </w:p>
        </w:tc>
        <w:tc>
          <w:tcPr>
            <w:tcW w:type="dxa" w:w="2520"/>
          </w:tcPr>
          <w:p>
            <w:r>
              <w:t>16 U.S.C. § 1531</w:t>
            </w:r>
          </w:p>
        </w:tc>
        <w:tc>
          <w:tcPr>
            <w:tcW w:type="dxa" w:w="2520"/>
          </w:tcPr>
          <w:p>
            <w:r>
              <w:t>Section 7 Consultation, Section 9 Take Prohibitions</w:t>
            </w:r>
          </w:p>
        </w:tc>
        <w:tc>
          <w:tcPr>
            <w:tcW w:type="dxa" w:w="2520"/>
          </w:tcPr>
          <w:p>
            <w:r>
              <w:t>126</w:t>
            </w:r>
          </w:p>
        </w:tc>
      </w:tr>
      <w:tr>
        <w:tc>
          <w:tcPr>
            <w:tcW w:type="dxa" w:w="2520"/>
          </w:tcPr>
          <w:p>
            <w:r>
              <w:t>Toxic Substances (TSCA)</w:t>
            </w:r>
          </w:p>
        </w:tc>
        <w:tc>
          <w:tcPr>
            <w:tcW w:type="dxa" w:w="2520"/>
          </w:tcPr>
          <w:p>
            <w:r>
              <w:t>15 U.S.C. § 2601</w:t>
            </w:r>
          </w:p>
        </w:tc>
        <w:tc>
          <w:tcPr>
            <w:tcW w:type="dxa" w:w="2520"/>
          </w:tcPr>
          <w:p>
            <w:r>
              <w:t>Chemical risk reviews, PFAS &amp; toxic limits</w:t>
            </w:r>
          </w:p>
        </w:tc>
        <w:tc>
          <w:tcPr>
            <w:tcW w:type="dxa" w:w="2520"/>
          </w:tcPr>
          <w:p>
            <w:r>
              <w:t>54</w:t>
            </w:r>
          </w:p>
        </w:tc>
      </w:tr>
      <w:tr>
        <w:tc>
          <w:tcPr>
            <w:tcW w:type="dxa" w:w="2520"/>
          </w:tcPr>
          <w:p>
            <w:r>
              <w:t>National Env. Policy (NEPA)</w:t>
            </w:r>
          </w:p>
        </w:tc>
        <w:tc>
          <w:tcPr>
            <w:tcW w:type="dxa" w:w="2520"/>
          </w:tcPr>
          <w:p>
            <w:r>
              <w:t>42 U.S.C. § 4321</w:t>
            </w:r>
          </w:p>
        </w:tc>
        <w:tc>
          <w:tcPr>
            <w:tcW w:type="dxa" w:w="2520"/>
          </w:tcPr>
          <w:p>
            <w:r>
              <w:t>EIS (§102(2)(C)), EA, Categorical Exclusions</w:t>
            </w:r>
          </w:p>
        </w:tc>
        <w:tc>
          <w:tcPr>
            <w:tcW w:type="dxa" w:w="2520"/>
          </w:tcPr>
          <w:p>
            <w:r>
              <w:t>40</w:t>
            </w:r>
          </w:p>
        </w:tc>
      </w:tr>
      <w:tr>
        <w:tc>
          <w:tcPr>
            <w:tcW w:type="dxa" w:w="2520"/>
          </w:tcPr>
          <w:p>
            <w:r>
              <w:t>The Paris Agreement</w:t>
            </w:r>
          </w:p>
        </w:tc>
        <w:tc>
          <w:tcPr>
            <w:tcW w:type="dxa" w:w="2520"/>
          </w:tcPr>
          <w:p>
            <w:r>
              <w:t>UN Treaty No. 54113</w:t>
            </w:r>
          </w:p>
        </w:tc>
        <w:tc>
          <w:tcPr>
            <w:tcW w:type="dxa" w:w="2520"/>
          </w:tcPr>
          <w:p>
            <w:r>
              <w:t>1.5°C goal (Art 2), NDCs (Art 4), Carbon Markets</w:t>
            </w:r>
          </w:p>
        </w:tc>
        <w:tc>
          <w:tcPr>
            <w:tcW w:type="dxa" w:w="2520"/>
          </w:tcPr>
          <w:p>
            <w:r>
              <w:t>100</w:t>
            </w:r>
          </w:p>
        </w:tc>
      </w:tr>
      <w:tr>
        <w:tc>
          <w:tcPr>
            <w:tcW w:type="dxa" w:w="2520"/>
          </w:tcPr>
          <w:p>
            <w:r>
              <w:t>CBD Biodiversity Framework</w:t>
            </w:r>
          </w:p>
        </w:tc>
        <w:tc>
          <w:tcPr>
            <w:tcW w:type="dxa" w:w="2520"/>
          </w:tcPr>
          <w:p>
            <w:r>
              <w:t>CBD/COP/15/L.25</w:t>
            </w:r>
          </w:p>
        </w:tc>
        <w:tc>
          <w:tcPr>
            <w:tcW w:type="dxa" w:w="2520"/>
          </w:tcPr>
          <w:p>
            <w:r>
              <w:t>30x30 global conservation, ecosystem restoration</w:t>
            </w:r>
          </w:p>
        </w:tc>
        <w:tc>
          <w:tcPr>
            <w:tcW w:type="dxa" w:w="2520"/>
          </w:tcPr>
          <w:p>
            <w:r>
              <w:t>40</w:t>
            </w:r>
          </w:p>
        </w:tc>
      </w:tr>
      <w:tr>
        <w:tc>
          <w:tcPr>
            <w:tcW w:type="dxa" w:w="2520"/>
          </w:tcPr>
          <w:p>
            <w:r>
              <w:t>EU Environmental Acquis</w:t>
            </w:r>
          </w:p>
        </w:tc>
        <w:tc>
          <w:tcPr>
            <w:tcW w:type="dxa" w:w="2520"/>
          </w:tcPr>
          <w:p>
            <w:r>
              <w:t>EUR-Lex (40 Directives)</w:t>
            </w:r>
          </w:p>
        </w:tc>
        <w:tc>
          <w:tcPr>
            <w:tcW w:type="dxa" w:w="2520"/>
          </w:tcPr>
          <w:p>
            <w:r>
              <w:t>Air Quality 2008/50/EC, CBAM, Corporate Due Diligence</w:t>
            </w:r>
          </w:p>
        </w:tc>
        <w:tc>
          <w:tcPr>
            <w:tcW w:type="dxa" w:w="2520"/>
          </w:tcPr>
          <w:p>
            <w:r>
              <w:t>792</w:t>
            </w:r>
          </w:p>
        </w:tc>
      </w:tr>
    </w:tbl>
    <w:p>
      <w:pPr>
        <w:pStyle w:val="Heading1"/>
      </w:pPr>
      <w:r>
        <w:t>4. Cross-Disciplinary Impact Across Science &amp; Technology</w:t>
      </w:r>
    </w:p>
    <w:p>
      <w:r>
        <w:t>The cognitive techniques pioneered in Green Guardian provide a universal framework for mission-critical applications across science, medicine, and engineering:</w:t>
      </w:r>
    </w:p>
    <w:p>
      <w:pPr>
        <w:pStyle w:val="Heading2"/>
      </w:pPr>
      <w:r>
        <w:t>A. Biomedical &amp; Pharmaceutical Regulatory Compliance (FDA / EMA)</w:t>
      </w:r>
    </w:p>
    <w:p>
      <w:r>
        <w:t>• Parses clinical study reports, drug master files, and FDA 21 CFR regulations. Neural reranking isolates exact dosage and toxicity endpoints, while the audit engine prevents clinical trial hallucinations.</w:t>
      </w:r>
    </w:p>
    <w:p>
      <w:pPr>
        <w:pStyle w:val="Heading2"/>
      </w:pPr>
      <w:r>
        <w:t>B. Aerospace &amp; Defense Systems Engineering (NASA / DoD / FAA)</w:t>
      </w:r>
    </w:p>
    <w:p>
      <w:r>
        <w:t>• Engineers verify space vehicle specifications against NASA Technical Standards (NASA-STD) and military specifications (MIL-SPEC), guaranteeing that mission-critical flight clearances cite exact section numbers.</w:t>
      </w:r>
    </w:p>
    <w:p>
      <w:pPr>
        <w:pStyle w:val="Heading2"/>
      </w:pPr>
      <w:r>
        <w:t>C. Nuclear Energy &amp; Power Grid Safety (NRC / IEEE)</w:t>
      </w:r>
    </w:p>
    <w:p>
      <w:r>
        <w:t>• Operators cross-examine reactor coolant procedures and IEEE power reliability standards with mathematically ranked confidence scores, ensuring complete adherence to 10 CFR Part 50 rules.</w:t>
      </w:r>
    </w:p>
    <w:p>
      <w:pPr>
        <w:pStyle w:val="Heading2"/>
      </w:pPr>
      <w:r>
        <w:t>D. Financial Engineering &amp; FinTech Compliance (SEC / Basel IV / SOX)</w:t>
      </w:r>
    </w:p>
    <w:p>
      <w:r>
        <w:t>• Compliance officers audit SEC 10-K disclosures, Basel IV capital adequacy rules, and AML requirements in real-time, detecting reporting discrepancies automatically.</w:t>
      </w:r>
    </w:p>
    <w:p>
      <w:pPr>
        <w:pStyle w:val="Heading2"/>
      </w:pPr>
      <w:r>
        <w:t>E. Advanced Materials Science &amp; Chemical Safety (OSHA / REACH)</w:t>
      </w:r>
    </w:p>
    <w:p>
      <w:r>
        <w:t>• Manufacturers map millions of chemical Safety Data Sheets (SDS) and European REACH toxicology limits directly against U.S. OSHA hazard communication standards.</w:t>
      </w:r>
    </w:p>
    <w:p>
      <w:pPr>
        <w:pStyle w:val="Heading1"/>
      </w:pPr>
      <w:r>
        <w:t>5. Google Cloud Architecture &amp; Serverless Efficiency</w:t>
      </w:r>
    </w:p>
    <w:p>
      <w:r>
        <w:t>• Google Cloud Run: Serverless container compute scaling to zero instances when idle ($0 standby cost).</w:t>
        <w:br/>
        <w:t>• Vertex AI Gemini 2.0 Flash: Sub-second token generation speed with high throughput (300+ RPM).</w:t>
        <w:br/>
        <w:t>• Google Cloud Storage: Reliable data lake for raw legal PDFs and indices.</w:t>
        <w:br/>
        <w:t>• Cost Efficiency: Entire event and hackathon operations cost under $3.00 total.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