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rPr>
      </w:pPr>
      <w:bookmarkStart w:id="1" w:name="_GoBack"/>
      <w:bookmarkEnd w:id="1"/>
      <w:r>
        <w:rPr>
          <w:rFonts w:hint="eastAsia" w:ascii="宋体" w:hAnsi="宋体" w:eastAsia="宋体" w:cs="宋体"/>
          <w:b/>
          <w:bCs/>
          <w:sz w:val="32"/>
          <w:szCs w:val="32"/>
        </w:rPr>
        <w:t>新高考改革何其难</w:t>
      </w:r>
    </w:p>
    <w:p>
      <w:pPr>
        <w:jc w:val="center"/>
        <w:rPr>
          <w:rFonts w:ascii="黑体" w:hAnsi="黑体" w:eastAsia="黑体"/>
          <w:sz w:val="28"/>
          <w:szCs w:val="28"/>
        </w:rPr>
      </w:pPr>
      <w:r>
        <w:rPr>
          <w:rFonts w:hint="eastAsia" w:ascii="黑体" w:hAnsi="黑体" w:eastAsia="黑体"/>
          <w:sz w:val="28"/>
          <w:szCs w:val="28"/>
        </w:rPr>
        <w:t>摘 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自新高考改革意见提出后，部分地区已作为改革试点开始执行新方案，但后期试点省份发生了锐减。由于新高考改革对招生计划分配方式、改革考试形式和内容等作以要求，即使编制和财力允许，学生选择的多样性和时变性也会导致资源的利用低效化，因而办学会不经济。本文主要通过建立数学模型并设计算法，给出选科组合人数与教学资源缺口、及部分排课方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首先是数据处理， 使用Excel表格将查找的2018年总人数、选课人数及教师数量等数据存储。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接着，利用2017年上海市考生选考组合情况计算得2018年各组合选考人数</w:t>
      </w:r>
      <w:r>
        <w:rPr>
          <w:rFonts w:hint="eastAsia" w:ascii="宋体" w:hAnsi="宋体" w:eastAsia="宋体"/>
          <w:sz w:val="24"/>
          <w:szCs w:val="24"/>
          <w:lang w:val="en-US" w:eastAsia="zh-CN"/>
        </w:rPr>
        <w:t>以及</w:t>
      </w:r>
      <w:r>
        <w:rPr>
          <w:rFonts w:hint="eastAsia" w:ascii="宋体" w:hAnsi="宋体" w:eastAsia="宋体"/>
          <w:sz w:val="24"/>
          <w:szCs w:val="24"/>
        </w:rPr>
        <w:t>比例，</w:t>
      </w:r>
      <w:r>
        <w:rPr>
          <w:rFonts w:hint="eastAsia" w:ascii="宋体" w:hAnsi="宋体" w:eastAsia="宋体"/>
          <w:sz w:val="24"/>
          <w:szCs w:val="24"/>
          <w:lang w:val="en-US" w:eastAsia="zh-CN"/>
        </w:rPr>
        <w:t>之后</w:t>
      </w:r>
      <w:r>
        <w:rPr>
          <w:rFonts w:hint="eastAsia" w:ascii="宋体" w:hAnsi="宋体" w:eastAsia="宋体"/>
          <w:sz w:val="24"/>
          <w:szCs w:val="24"/>
        </w:rPr>
        <w:t>计算2018年各单科选考比例。估算单科选科比例，</w:t>
      </w:r>
      <w:r>
        <w:rPr>
          <w:rFonts w:hint="eastAsia" w:ascii="宋体" w:hAnsi="宋体" w:eastAsia="宋体"/>
          <w:sz w:val="24"/>
          <w:szCs w:val="24"/>
          <w:lang w:val="en-US" w:eastAsia="zh-CN"/>
        </w:rPr>
        <w:t>再</w:t>
      </w:r>
      <w:r>
        <w:rPr>
          <w:rFonts w:hint="eastAsia" w:ascii="宋体" w:hAnsi="宋体" w:eastAsia="宋体"/>
          <w:sz w:val="24"/>
          <w:szCs w:val="24"/>
        </w:rPr>
        <w:t>将估算值与计算值用SPSS进行校验，两者无显著性差异，保证结果的准确性。利用2018年上海市考生总人数来计算各个选考组合人数。其中分析了科目选考优劣势，以及同学们的</w:t>
      </w:r>
      <w:r>
        <w:rPr>
          <w:rFonts w:hint="eastAsia" w:ascii="宋体" w:hAnsi="宋体" w:eastAsia="宋体"/>
          <w:sz w:val="24"/>
          <w:szCs w:val="24"/>
          <w:highlight w:val="none"/>
        </w:rPr>
        <w:t>往年选科</w:t>
      </w:r>
      <w:r>
        <w:rPr>
          <w:rFonts w:hint="eastAsia" w:ascii="宋体" w:hAnsi="宋体" w:eastAsia="宋体"/>
          <w:sz w:val="24"/>
          <w:szCs w:val="24"/>
        </w:rPr>
        <w:t>情况，完成了此题目的求解。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再进行教学资源缺口时，先做问题分析，以单一的选科比例为主要对比，先得到每个学校各科目老师的比例，然后将所得比例与问题一中的单科选科比例作比较，从而的出各个科目老师的缺口所占的比例，再乘以学校的师资数量就可以得到缺口科目老师的具体数量得出师资的缺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在最后的“菜单式”选科中，从课程的难易程度，录取率及受用程度做出相应分析，并给出三个不同形式的选择“菜单式”选科：“科目难易”、“以多带少”、“必要选择”。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 xml:space="preserve">本文在进行充分的理论分析的基础上，综合利用多种计算机工具，在计算结果展示、人工经验介入、计算过程衔接方面取得了较好效果。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关键词：选科组合</w:t>
      </w:r>
      <w:r>
        <w:rPr>
          <w:rFonts w:hint="eastAsia" w:ascii="宋体" w:hAnsi="宋体" w:eastAsia="宋体"/>
          <w:sz w:val="24"/>
          <w:szCs w:val="24"/>
          <w:lang w:val="en-US" w:eastAsia="zh-CN"/>
        </w:rPr>
        <w:t xml:space="preserve">  </w:t>
      </w:r>
      <w:r>
        <w:rPr>
          <w:rFonts w:hint="eastAsia" w:ascii="宋体" w:hAnsi="宋体" w:eastAsia="宋体"/>
          <w:sz w:val="24"/>
          <w:szCs w:val="24"/>
        </w:rPr>
        <w:t>资源缺少</w:t>
      </w:r>
      <w:r>
        <w:rPr>
          <w:rFonts w:hint="eastAsia" w:ascii="宋体" w:hAnsi="宋体" w:eastAsia="宋体"/>
          <w:sz w:val="24"/>
          <w:szCs w:val="24"/>
          <w:lang w:val="en-US" w:eastAsia="zh-CN"/>
        </w:rPr>
        <w:t xml:space="preserve">  </w:t>
      </w:r>
      <w:r>
        <w:rPr>
          <w:rFonts w:hint="eastAsia" w:ascii="宋体" w:hAnsi="宋体" w:eastAsia="宋体"/>
          <w:sz w:val="24"/>
          <w:szCs w:val="24"/>
        </w:rPr>
        <w:t>模型优化</w:t>
      </w:r>
      <w:r>
        <w:rPr>
          <w:rFonts w:hint="eastAsia" w:ascii="宋体" w:hAnsi="宋体" w:eastAsia="宋体"/>
          <w:sz w:val="24"/>
          <w:szCs w:val="24"/>
          <w:lang w:val="en-US" w:eastAsia="zh-CN"/>
        </w:rPr>
        <w:t xml:space="preserve">  </w:t>
      </w:r>
      <w:r>
        <w:rPr>
          <w:rFonts w:hint="eastAsia" w:ascii="宋体" w:hAnsi="宋体" w:eastAsia="宋体"/>
          <w:sz w:val="24"/>
          <w:szCs w:val="24"/>
        </w:rPr>
        <w:t>选科方案</w:t>
      </w:r>
    </w:p>
    <w:p/>
    <w:p/>
    <w:p/>
    <w:p/>
    <w:p/>
    <w:p/>
    <w:p/>
    <w:p/>
    <w:p/>
    <w:p/>
    <w:p/>
    <w:p>
      <w:pPr>
        <w:pStyle w:val="2"/>
        <w:keepNext/>
        <w:keepLines/>
        <w:pageBreakBefore w:val="0"/>
        <w:widowControl w:val="0"/>
        <w:kinsoku/>
        <w:wordWrap/>
        <w:overflowPunct/>
        <w:topLinePunct w:val="0"/>
        <w:autoSpaceDE/>
        <w:autoSpaceDN/>
        <w:bidi w:val="0"/>
        <w:adjustRightInd/>
        <w:snapToGrid/>
        <w:spacing w:before="160" w:after="160" w:line="579" w:lineRule="auto"/>
        <w:jc w:val="center"/>
        <w:textAlignment w:val="auto"/>
        <w:rPr>
          <w:rFonts w:ascii="黑体" w:hAnsi="黑体" w:eastAsia="黑体"/>
          <w:sz w:val="28"/>
          <w:szCs w:val="28"/>
        </w:rPr>
      </w:pPr>
      <w:r>
        <w:rPr>
          <w:rFonts w:hint="eastAsia" w:ascii="黑体" w:hAnsi="黑体" w:eastAsia="黑体"/>
          <w:sz w:val="28"/>
          <w:szCs w:val="28"/>
        </w:rPr>
        <w:t>一、问题重述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新高考改革意见提出：</w:t>
      </w:r>
      <w:r>
        <w:rPr>
          <w:rFonts w:ascii="宋体" w:hAnsi="宋体" w:eastAsia="宋体"/>
          <w:sz w:val="24"/>
          <w:szCs w:val="24"/>
        </w:rPr>
        <w:t>考试招生制度改革要统筹规划、试点先行、分步实施、有序推进。</w:t>
      </w:r>
      <w:r>
        <w:rPr>
          <w:rFonts w:hint="eastAsia" w:ascii="宋体" w:hAnsi="宋体" w:eastAsia="宋体"/>
          <w:sz w:val="24"/>
          <w:szCs w:val="24"/>
        </w:rPr>
        <w:t>要求改进招生计划分配方式、改革考试形式和内容以及招生录取机制等，上海市、浙江省作为第一批改革试点从秋季开始执行新方案，但后期试点省份发生锐减，调查了解后发现，一些省份担心“自身资源跟不上改革节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sz w:val="24"/>
          <w:szCs w:val="24"/>
        </w:rPr>
      </w:pPr>
      <w:r>
        <w:rPr>
          <w:rFonts w:hint="eastAsia" w:ascii="宋体" w:hAnsi="宋体" w:eastAsia="宋体"/>
          <w:sz w:val="24"/>
          <w:szCs w:val="24"/>
        </w:rPr>
        <w:t>以一线城市上海市为例，上海新高考实行“3（语数外）+</w:t>
      </w:r>
      <w:r>
        <w:rPr>
          <w:rFonts w:ascii="宋体" w:hAnsi="宋体" w:eastAsia="宋体"/>
          <w:sz w:val="24"/>
          <w:szCs w:val="24"/>
        </w:rPr>
        <w:t>6</w:t>
      </w:r>
      <w:r>
        <w:rPr>
          <w:rFonts w:hint="eastAsia" w:ascii="宋体" w:hAnsi="宋体" w:eastAsia="宋体"/>
          <w:sz w:val="24"/>
          <w:szCs w:val="24"/>
        </w:rPr>
        <w:t>（物化生政史地）选3”的科目组合，教师大都认可新高考改革的方向性正确：扩大了学生的学科选择权、考试选择权、课程选择权。但是主要问题是：若真正允许学生自主选择，学校就必须根据学生的</w:t>
      </w:r>
      <w:r>
        <w:rPr>
          <w:rFonts w:hint="eastAsia" w:ascii="宋体" w:hAnsi="宋体" w:eastAsia="宋体"/>
          <w:sz w:val="24"/>
          <w:szCs w:val="24"/>
          <w:highlight w:val="none"/>
        </w:rPr>
        <w:t>选科</w:t>
      </w:r>
      <w:r>
        <w:rPr>
          <w:rFonts w:hint="eastAsia" w:ascii="宋体" w:hAnsi="宋体" w:eastAsia="宋体"/>
          <w:sz w:val="24"/>
          <w:szCs w:val="24"/>
        </w:rPr>
        <w:t>结果提供足够的课程。而且师资力量及教学环境对于发展中期地区造成了很大的改革障碍。</w:t>
      </w:r>
    </w:p>
    <w:p>
      <w:pPr>
        <w:keepNext w:val="0"/>
        <w:keepLines w:val="0"/>
        <w:pageBreakBefore w:val="0"/>
        <w:widowControl w:val="0"/>
        <w:kinsoku/>
        <w:wordWrap/>
        <w:overflowPunct/>
        <w:topLinePunct w:val="0"/>
        <w:autoSpaceDE/>
        <w:autoSpaceDN/>
        <w:bidi w:val="0"/>
        <w:adjustRightInd/>
        <w:snapToGrid/>
        <w:spacing w:before="100" w:after="100"/>
        <w:jc w:val="left"/>
        <w:textAlignment w:val="auto"/>
        <w:outlineLvl w:val="1"/>
        <w:rPr>
          <w:rFonts w:ascii="黑体" w:hAnsi="黑体" w:eastAsia="黑体"/>
          <w:b/>
          <w:bCs/>
          <w:sz w:val="28"/>
          <w:szCs w:val="28"/>
        </w:rPr>
      </w:pPr>
      <w:r>
        <w:rPr>
          <w:rFonts w:hint="eastAsia" w:ascii="黑体" w:hAnsi="黑体" w:eastAsia="黑体"/>
          <w:b/>
          <w:bCs/>
          <w:sz w:val="24"/>
          <w:szCs w:val="24"/>
          <w:lang w:val="en-US" w:eastAsia="zh-CN"/>
        </w:rPr>
        <w:t>1、</w:t>
      </w:r>
      <w:r>
        <w:rPr>
          <w:rFonts w:hint="eastAsia" w:ascii="黑体" w:hAnsi="黑体" w:eastAsia="黑体"/>
          <w:b/>
          <w:bCs/>
          <w:sz w:val="24"/>
          <w:szCs w:val="24"/>
        </w:rPr>
        <w:t>学生分科情况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简单计算，“6选3”有20种组合，“7选3”则有35种组合，每一种组合的三门课不能安排在同一时间，而且选择不同组合的学生数量有很大的差异，想要合理排课很难做到，因此导致了排课复杂的问题。</w:t>
      </w:r>
    </w:p>
    <w:p>
      <w:pPr>
        <w:keepNext w:val="0"/>
        <w:keepLines w:val="0"/>
        <w:pageBreakBefore w:val="0"/>
        <w:widowControl w:val="0"/>
        <w:kinsoku/>
        <w:wordWrap/>
        <w:overflowPunct/>
        <w:topLinePunct w:val="0"/>
        <w:autoSpaceDE/>
        <w:autoSpaceDN/>
        <w:bidi w:val="0"/>
        <w:adjustRightInd/>
        <w:snapToGrid/>
        <w:spacing w:before="100" w:after="100"/>
        <w:jc w:val="left"/>
        <w:textAlignment w:val="auto"/>
        <w:outlineLvl w:val="1"/>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2、资源缺口合理化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（1）由于社会变化的种种原因，学生选择也会逐年变化，由于学生选择的多样性和时变性，资源的利用将有可能是低效的，这些也极大地增加了师资和教室</w:t>
      </w:r>
      <w:r>
        <w:rPr>
          <w:rFonts w:hint="eastAsia" w:ascii="宋体" w:hAnsi="宋体" w:eastAsia="宋体"/>
          <w:sz w:val="24"/>
          <w:szCs w:val="24"/>
          <w:lang w:eastAsia="zh-CN"/>
        </w:rPr>
        <w:t>、</w:t>
      </w:r>
      <w:r>
        <w:rPr>
          <w:rFonts w:hint="eastAsia" w:ascii="宋体" w:hAnsi="宋体" w:eastAsia="宋体"/>
          <w:sz w:val="24"/>
          <w:szCs w:val="24"/>
        </w:rPr>
        <w:t>实验室等教学资源的需求,对经济和教育发展水平相对滞后的地区来说，可能是难以承受的，办学会不经济成了一个难题。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（2）由于选科的不确定性，可能会出现教师“赋闲”状况，对学校的办学不利，无法真正的实现教与学都合理化。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（3）考虑到这些情况，不少学校采取了“退而求其次”的做法---“菜单式”选择，即在所有的选科组合中限定几种供学生选。</w:t>
      </w:r>
    </w:p>
    <w:p>
      <w:pPr>
        <w:keepNext w:val="0"/>
        <w:keepLines w:val="0"/>
        <w:pageBreakBefore w:val="0"/>
        <w:widowControl w:val="0"/>
        <w:kinsoku/>
        <w:wordWrap/>
        <w:overflowPunct/>
        <w:topLinePunct w:val="0"/>
        <w:autoSpaceDE/>
        <w:autoSpaceDN/>
        <w:bidi w:val="0"/>
        <w:adjustRightInd/>
        <w:snapToGrid/>
        <w:spacing w:before="100" w:after="100"/>
        <w:jc w:val="left"/>
        <w:textAlignment w:val="auto"/>
        <w:outlineLvl w:val="1"/>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3、需要解决的问题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（1）根据学校实际情况，估算选择不同科目组合的人数，并由高到低进行排序，同时说明推断的依据和方法。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（2）根据上述结果以及学校现有资源（各科师资，各类教室等）的现状，计算师资等各种资源的缺口。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（3）如果所需的资源不能全部满足，请提出“菜单式”选科的建议，并分析各种方案的利弊。</w:t>
      </w:r>
    </w:p>
    <w:p>
      <w:pPr>
        <w:pStyle w:val="2"/>
        <w:keepNext/>
        <w:keepLines/>
        <w:pageBreakBefore w:val="0"/>
        <w:widowControl w:val="0"/>
        <w:kinsoku/>
        <w:wordWrap/>
        <w:overflowPunct/>
        <w:topLinePunct w:val="0"/>
        <w:autoSpaceDE/>
        <w:autoSpaceDN/>
        <w:bidi w:val="0"/>
        <w:adjustRightInd/>
        <w:snapToGrid/>
        <w:spacing w:before="160" w:after="160" w:line="579" w:lineRule="auto"/>
        <w:jc w:val="center"/>
        <w:textAlignment w:val="auto"/>
        <w:rPr>
          <w:rFonts w:hint="eastAsia" w:ascii="黑体" w:hAnsi="黑体" w:eastAsia="黑体"/>
          <w:sz w:val="28"/>
          <w:szCs w:val="28"/>
        </w:rPr>
      </w:pPr>
      <w:r>
        <w:rPr>
          <w:rFonts w:hint="eastAsia" w:ascii="黑体" w:hAnsi="黑体" w:eastAsia="黑体"/>
          <w:sz w:val="28"/>
          <w:szCs w:val="28"/>
        </w:rPr>
        <w:t>二、问题分析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本题应该解决的问题为：首先根据学校实际情况，估算选择不同科目组合的人数，并由高到低进行排序，其次根据选课情况以及学校现有资源（各科师资，各类教室等）的现状，分别计算师资、教学设施等各种资源的缺口。最后在所需的资源不能全部满足的情况下，提出“菜单式”选科的建议，给出各种方案的利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自新高考改革提出之后，全国各地积极配合实行方案。为了让本次的调查分析更具有说服力，实验结果更加有效，决定在最早实行的地区里选择一个省份。最早的一批为浙江、上海地区，其中浙江所选课程为7选3模式，为了适应大部分地区并且更好的拓展此次的实验结果，所以最终选择了上海省教育改革的具有代表性的6选3组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确定省份之后，再根据上海各地区包含人数的多少及地区含有的学校的数量，从人数“多、中、少”三个方面出发，分别选择两所偏向不同文化的学校，尽量让所选学校存在于不同地区。通过调查分析各个学校的人数以及师资教学资源的充足度，最终再给予“菜单式”选科的建议及方案利弊。</w:t>
      </w:r>
    </w:p>
    <w:p>
      <w:pPr>
        <w:keepNext w:val="0"/>
        <w:keepLines w:val="0"/>
        <w:pageBreakBefore w:val="0"/>
        <w:widowControl w:val="0"/>
        <w:kinsoku/>
        <w:wordWrap/>
        <w:overflowPunct/>
        <w:topLinePunct w:val="0"/>
        <w:autoSpaceDE/>
        <w:autoSpaceDN/>
        <w:bidi w:val="0"/>
        <w:adjustRightInd/>
        <w:snapToGrid/>
        <w:spacing w:before="100" w:after="100"/>
        <w:jc w:val="left"/>
        <w:textAlignment w:val="auto"/>
        <w:outlineLvl w:val="1"/>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1、估算选择不同科目组合的人数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highlight w:val="none"/>
        </w:rPr>
        <w:t>选科时</w:t>
      </w:r>
      <w:r>
        <w:rPr>
          <w:rFonts w:hint="eastAsia" w:ascii="宋体" w:hAnsi="宋体" w:eastAsia="宋体"/>
          <w:sz w:val="24"/>
          <w:szCs w:val="24"/>
        </w:rPr>
        <w:t>不建议同时选物理和化学：选择物理或是化学，其实都与高考专业选择挂钩。大学里大多数工科专业都要求必选物理，比如土木、建筑、机械、交运、船舶、软件工程等。而选化学，除了化工类专业外，也可以报经管类热门专业。部分高中明确说明，不鼓励同学同时报物理和化学。因为这两科都属于高分段学生多于低分段学生的，按照相对排名来算是吃亏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 xml:space="preserve">选历史和选政治其实没有本质区别：很多学生的标配都是"生物、地理、物理”或是”生物、地理、化学”。当然，如果不打算同时选生物和地理的话，也就意味着必须在高三的历史和政治中二选一， 其实这两者并无本质区别，都属于上游考生少于下游考生的，按道理说也是很合算的。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因此，决定从2017年的选考情况及6所代表学校的总人数入手，计算出6所学校的选考情况，以此代表2018年选考情况。用C语言分析计算出上海市各科的选考比例，以及文理科选考比例。将计算所得各科选考比例，与估算比例用spss进行检验，分析有无显著性差异。</w:t>
      </w:r>
    </w:p>
    <w:p>
      <w:pPr>
        <w:keepNext w:val="0"/>
        <w:keepLines w:val="0"/>
        <w:pageBreakBefore w:val="0"/>
        <w:widowControl w:val="0"/>
        <w:kinsoku/>
        <w:wordWrap/>
        <w:overflowPunct/>
        <w:topLinePunct w:val="0"/>
        <w:autoSpaceDE/>
        <w:autoSpaceDN/>
        <w:bidi w:val="0"/>
        <w:adjustRightInd/>
        <w:snapToGrid/>
        <w:spacing w:before="100" w:after="100"/>
        <w:jc w:val="left"/>
        <w:textAlignment w:val="auto"/>
        <w:outlineLvl w:val="1"/>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2、通过学校现有资源现状，计算师资各种资源的缺口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根据查找的教学资源状况，以及学校现有老师资源的现状，分析老师们是否出现了“赋闲”或过于忙碌的情况，为了让查找的各个学校具有代表性，决定做出一个概况型模型，进行分析假设，得出师资缺口。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首先利用excel表格将所需数据进行整理分析，再使用概率以及往年的情况，做一个分析整合。</w:t>
      </w:r>
    </w:p>
    <w:p>
      <w:pPr>
        <w:keepNext w:val="0"/>
        <w:keepLines w:val="0"/>
        <w:pageBreakBefore w:val="0"/>
        <w:widowControl w:val="0"/>
        <w:kinsoku/>
        <w:wordWrap/>
        <w:overflowPunct/>
        <w:topLinePunct w:val="0"/>
        <w:autoSpaceDE/>
        <w:autoSpaceDN/>
        <w:bidi w:val="0"/>
        <w:adjustRightInd/>
        <w:snapToGrid/>
        <w:spacing w:before="100" w:after="100"/>
        <w:jc w:val="left"/>
        <w:textAlignment w:val="auto"/>
        <w:outlineLvl w:val="1"/>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3、提出“菜单式”选科的建议，并分析各种方案的利弊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（1）据调查分析，选择生物、地理的人数较多，其次是化学、历史，最后是物理、政治。实现方案一：“以多带少”，即为了防止教师资源低效化，将课程融合再一次。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（2）根据往年选科情况分析对比，找出选科组合录取率达98.5%以上的科目作以记录。实现方案二：“科目难易”，即为了教学效果更有成效，选择录取率较高的组合。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 xml:space="preserve">（3）根据社会需求及之后科目的发展情况考虑。实行方案三：“必要选择”，即，物理作为重要科目，历史作为政治需求，物理和历史必须二选一。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综合以上所述现象：结合各项数据，分析计算出各项所需条件和问题结果。</w:t>
      </w:r>
    </w:p>
    <w:p>
      <w:pPr>
        <w:pStyle w:val="2"/>
        <w:keepNext/>
        <w:keepLines/>
        <w:pageBreakBefore w:val="0"/>
        <w:widowControl w:val="0"/>
        <w:kinsoku/>
        <w:wordWrap/>
        <w:overflowPunct/>
        <w:topLinePunct w:val="0"/>
        <w:autoSpaceDE/>
        <w:autoSpaceDN/>
        <w:bidi w:val="0"/>
        <w:adjustRightInd/>
        <w:snapToGrid/>
        <w:spacing w:before="160" w:after="160" w:line="579" w:lineRule="auto"/>
        <w:jc w:val="center"/>
        <w:textAlignment w:val="auto"/>
        <w:rPr>
          <w:rFonts w:hint="eastAsia" w:ascii="黑体" w:hAnsi="黑体" w:eastAsia="黑体"/>
          <w:sz w:val="28"/>
          <w:szCs w:val="28"/>
        </w:rPr>
      </w:pPr>
      <w:r>
        <w:rPr>
          <w:rFonts w:hint="eastAsia" w:ascii="黑体" w:hAnsi="黑体" w:eastAsia="黑体"/>
          <w:sz w:val="28"/>
          <w:szCs w:val="28"/>
        </w:rPr>
        <w:t>三、模型假设与约定</w:t>
      </w:r>
    </w:p>
    <w:p>
      <w:pPr>
        <w:keepNext w:val="0"/>
        <w:keepLines w:val="0"/>
        <w:pageBreakBefore w:val="0"/>
        <w:widowControl w:val="0"/>
        <w:kinsoku/>
        <w:wordWrap/>
        <w:overflowPunct/>
        <w:topLinePunct w:val="0"/>
        <w:autoSpaceDE/>
        <w:autoSpaceDN/>
        <w:bidi w:val="0"/>
        <w:adjustRightInd/>
        <w:snapToGrid/>
        <w:spacing w:before="100" w:after="100"/>
        <w:textAlignment w:val="auto"/>
        <w:rPr>
          <w:rFonts w:ascii="黑体" w:hAnsi="黑体" w:eastAsia="黑体"/>
          <w:b/>
          <w:bCs/>
          <w:sz w:val="24"/>
          <w:szCs w:val="24"/>
        </w:rPr>
      </w:pPr>
      <w:r>
        <w:rPr>
          <w:rFonts w:hint="eastAsia" w:ascii="黑体" w:hAnsi="黑体" w:eastAsia="黑体"/>
          <w:b/>
          <w:bCs/>
          <w:sz w:val="24"/>
          <w:szCs w:val="24"/>
          <w:lang w:val="en-US" w:eastAsia="zh-CN"/>
        </w:rPr>
        <w:t>1、</w:t>
      </w:r>
      <w:r>
        <w:rPr>
          <w:rFonts w:hint="eastAsia" w:ascii="黑体" w:hAnsi="黑体" w:eastAsia="黑体"/>
          <w:b/>
          <w:bCs/>
          <w:sz w:val="24"/>
          <w:szCs w:val="24"/>
          <w:highlight w:val="none"/>
        </w:rPr>
        <w:t>选科</w:t>
      </w:r>
      <w:r>
        <w:rPr>
          <w:rFonts w:hint="eastAsia" w:ascii="黑体" w:hAnsi="黑体" w:eastAsia="黑体"/>
          <w:b/>
          <w:bCs/>
          <w:sz w:val="24"/>
          <w:szCs w:val="24"/>
        </w:rPr>
        <w:t>比例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假设个人爱好、优势、文理科所占比例为1：1。其根据科目的特点和难易程度来说，地理和生物相对于各文理科中的科目较简单，假设地理和生物选科优势各设为0.2。又</w:t>
      </w:r>
      <w:r>
        <w:rPr>
          <w:rFonts w:hint="eastAsia" w:ascii="宋体" w:hAnsi="宋体" w:eastAsia="宋体"/>
          <w:sz w:val="24"/>
          <w:szCs w:val="24"/>
          <w:lang w:val="en-US" w:eastAsia="zh-CN"/>
        </w:rPr>
        <w:t>因为</w:t>
      </w:r>
      <w:r>
        <w:rPr>
          <w:rFonts w:hint="eastAsia" w:ascii="宋体" w:hAnsi="宋体" w:eastAsia="宋体"/>
          <w:sz w:val="24"/>
          <w:szCs w:val="24"/>
        </w:rPr>
        <w:t>政治一直受时事政治的影响，占比较低，将文科所剩0.3的比例，分别设政治占0.12，历史占0.18。理科中，物理涉及相关专业多，在选考物理的情况下，化学选考虑较低，又根据物理在以往的考试及选考情况中的现象，可得物理选考比例较化学低，最终将理科所剩的0.3的比例中，设物理为0.14，化学为0.16。</w:t>
      </w:r>
    </w:p>
    <w:p>
      <w:pPr>
        <w:keepNext w:val="0"/>
        <w:keepLines w:val="0"/>
        <w:pageBreakBefore w:val="0"/>
        <w:widowControl/>
        <w:kinsoku/>
        <w:wordWrap/>
        <w:overflowPunct/>
        <w:topLinePunct w:val="0"/>
        <w:autoSpaceDE/>
        <w:autoSpaceDN/>
        <w:bidi w:val="0"/>
        <w:adjustRightInd/>
        <w:snapToGrid/>
        <w:spacing w:before="100" w:after="100"/>
        <w:ind w:left="0" w:hanging="482" w:hangingChars="200"/>
        <w:jc w:val="left"/>
        <w:textAlignment w:val="auto"/>
        <w:rPr>
          <w:rFonts w:ascii="黑体" w:hAnsi="黑体" w:eastAsia="黑体"/>
          <w:b/>
          <w:bCs/>
          <w:sz w:val="24"/>
          <w:szCs w:val="24"/>
        </w:rPr>
      </w:pPr>
      <w:r>
        <w:rPr>
          <w:rFonts w:hint="eastAsia" w:ascii="黑体" w:hAnsi="黑体" w:eastAsia="黑体"/>
          <w:b/>
          <w:bCs/>
          <w:sz w:val="24"/>
          <w:szCs w:val="24"/>
          <w:lang w:val="en-US" w:eastAsia="zh-CN"/>
        </w:rPr>
        <w:t>2、</w:t>
      </w:r>
      <w:r>
        <w:rPr>
          <w:rFonts w:hint="eastAsia" w:ascii="黑体" w:hAnsi="黑体" w:eastAsia="黑体"/>
          <w:b/>
          <w:bCs/>
          <w:sz w:val="24"/>
          <w:szCs w:val="24"/>
        </w:rPr>
        <w:t>师资缺口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由于选科情况较多，导致教师资源无法有效利用，假设A学校的物理老师为x1，化学老师为x2，生物老师为x3，政治老师为x4，历史老师为x5，地理老师为x6。N表示A学校中各科目老师总数量，Pi=Xi/N表示不同代课老师的所占比。</w:t>
      </w:r>
    </w:p>
    <w:p>
      <w:pPr>
        <w:keepNext w:val="0"/>
        <w:keepLines w:val="0"/>
        <w:pageBreakBefore w:val="0"/>
        <w:widowControl/>
        <w:kinsoku/>
        <w:wordWrap/>
        <w:overflowPunct/>
        <w:topLinePunct w:val="0"/>
        <w:autoSpaceDE/>
        <w:autoSpaceDN/>
        <w:bidi w:val="0"/>
        <w:adjustRightInd/>
        <w:snapToGrid/>
        <w:spacing w:before="100" w:after="100"/>
        <w:ind w:left="0" w:hanging="482" w:hangingChars="200"/>
        <w:jc w:val="left"/>
        <w:textAlignment w:val="auto"/>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3、“菜单式”选科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假设所需的资源不能全部满足，本年与往年的变化不大</w:t>
      </w:r>
      <w:r>
        <w:rPr>
          <w:rFonts w:hint="eastAsia" w:ascii="宋体" w:hAnsi="宋体" w:eastAsia="宋体"/>
          <w:sz w:val="24"/>
          <w:szCs w:val="24"/>
          <w:lang w:eastAsia="zh-CN"/>
        </w:rPr>
        <w:t>。</w:t>
      </w:r>
      <w:r>
        <w:rPr>
          <w:rFonts w:hint="eastAsia" w:ascii="宋体" w:hAnsi="宋体" w:eastAsia="宋体"/>
          <w:sz w:val="24"/>
          <w:szCs w:val="24"/>
        </w:rPr>
        <w:t>根据数据假设出三个不同的方案</w:t>
      </w:r>
      <w:r>
        <w:rPr>
          <w:rFonts w:hint="eastAsia" w:ascii="宋体" w:hAnsi="宋体" w:eastAsia="宋体"/>
          <w:sz w:val="24"/>
          <w:szCs w:val="24"/>
          <w:lang w:eastAsia="zh-CN"/>
        </w:rPr>
        <w:t>，</w:t>
      </w:r>
      <w:r>
        <w:rPr>
          <w:rFonts w:hint="eastAsia" w:ascii="宋体" w:hAnsi="宋体" w:eastAsia="宋体"/>
          <w:sz w:val="24"/>
          <w:szCs w:val="24"/>
        </w:rPr>
        <w:t>且每个方案都不受其他因素影响。</w:t>
      </w:r>
    </w:p>
    <w:p>
      <w:pPr>
        <w:keepNext w:val="0"/>
        <w:keepLines w:val="0"/>
        <w:pageBreakBefore w:val="0"/>
        <w:widowControl/>
        <w:kinsoku/>
        <w:wordWrap/>
        <w:overflowPunct/>
        <w:topLinePunct w:val="0"/>
        <w:autoSpaceDE/>
        <w:autoSpaceDN/>
        <w:bidi w:val="0"/>
        <w:adjustRightInd/>
        <w:snapToGrid/>
        <w:spacing w:before="100" w:after="100"/>
        <w:ind w:left="0" w:hanging="482" w:hangingChars="200"/>
        <w:jc w:val="left"/>
        <w:textAlignment w:val="auto"/>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4、其他因素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假设2017年的选课与2018年比例变化不大，且不考虑其他主观或其他题目中未涉及的因素。</w:t>
      </w:r>
    </w:p>
    <w:p>
      <w:pPr>
        <w:pStyle w:val="2"/>
        <w:keepNext/>
        <w:keepLines/>
        <w:pageBreakBefore w:val="0"/>
        <w:widowControl w:val="0"/>
        <w:kinsoku/>
        <w:wordWrap/>
        <w:overflowPunct/>
        <w:topLinePunct w:val="0"/>
        <w:autoSpaceDE/>
        <w:autoSpaceDN/>
        <w:bidi w:val="0"/>
        <w:adjustRightInd/>
        <w:snapToGrid/>
        <w:spacing w:before="160" w:after="160" w:line="579" w:lineRule="auto"/>
        <w:jc w:val="center"/>
        <w:textAlignment w:val="auto"/>
        <w:rPr>
          <w:rFonts w:hint="eastAsia" w:ascii="黑体" w:hAnsi="黑体" w:eastAsia="黑体"/>
          <w:sz w:val="28"/>
          <w:szCs w:val="28"/>
        </w:rPr>
      </w:pPr>
      <w:r>
        <w:rPr>
          <w:rFonts w:hint="eastAsia" w:ascii="黑体" w:hAnsi="黑体" w:eastAsia="黑体"/>
          <w:sz w:val="28"/>
          <w:szCs w:val="28"/>
        </w:rPr>
        <w:t xml:space="preserve">四、符号说明及名词定义 </w:t>
      </w:r>
    </w:p>
    <w:tbl>
      <w:tblPr>
        <w:tblStyle w:val="12"/>
        <w:tblW w:w="5700" w:type="dxa"/>
        <w:tblInd w:w="13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3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985" w:type="dxa"/>
          </w:tcPr>
          <w:p>
            <w:pPr>
              <w:jc w:val="center"/>
              <w:rPr>
                <w:rFonts w:ascii="宋体" w:hAnsi="宋体" w:eastAsia="宋体"/>
                <w:sz w:val="24"/>
                <w:szCs w:val="24"/>
              </w:rPr>
            </w:pPr>
            <w:r>
              <w:rPr>
                <w:rFonts w:hint="eastAsia" w:ascii="宋体" w:hAnsi="宋体" w:eastAsia="宋体"/>
                <w:sz w:val="24"/>
                <w:szCs w:val="24"/>
              </w:rPr>
              <w:t>符号</w:t>
            </w:r>
          </w:p>
        </w:tc>
        <w:tc>
          <w:tcPr>
            <w:tcW w:w="3715" w:type="dxa"/>
          </w:tcPr>
          <w:p>
            <w:pPr>
              <w:jc w:val="center"/>
              <w:rPr>
                <w:rFonts w:ascii="宋体" w:hAnsi="宋体" w:eastAsia="宋体"/>
                <w:sz w:val="24"/>
                <w:szCs w:val="24"/>
              </w:rPr>
            </w:pPr>
            <w:r>
              <w:rPr>
                <w:rFonts w:hint="eastAsia" w:ascii="宋体" w:hAnsi="宋体" w:eastAsia="宋体"/>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985" w:type="dxa"/>
          </w:tcPr>
          <w:p>
            <w:pPr>
              <w:jc w:val="center"/>
              <w:rPr>
                <w:rFonts w:ascii="宋体" w:hAnsi="宋体" w:eastAsia="宋体"/>
                <w:sz w:val="24"/>
                <w:szCs w:val="24"/>
              </w:rPr>
            </w:pPr>
            <w:r>
              <w:rPr>
                <w:rFonts w:ascii="宋体" w:hAnsi="宋体" w:eastAsia="宋体"/>
                <w:sz w:val="24"/>
                <w:szCs w:val="24"/>
              </w:rPr>
              <w:t>Zi</w:t>
            </w:r>
            <w:r>
              <w:rPr>
                <w:rFonts w:hint="eastAsia" w:ascii="宋体" w:hAnsi="宋体" w:eastAsia="宋体"/>
                <w:sz w:val="24"/>
                <w:szCs w:val="24"/>
              </w:rPr>
              <w:t>（i=1—20）</w:t>
            </w:r>
          </w:p>
        </w:tc>
        <w:tc>
          <w:tcPr>
            <w:tcW w:w="3715" w:type="dxa"/>
          </w:tcPr>
          <w:p>
            <w:pPr>
              <w:jc w:val="center"/>
              <w:rPr>
                <w:rFonts w:ascii="宋体" w:hAnsi="宋体" w:eastAsia="宋体"/>
                <w:sz w:val="24"/>
                <w:szCs w:val="24"/>
              </w:rPr>
            </w:pPr>
            <w:r>
              <w:rPr>
                <w:rFonts w:hint="eastAsia" w:ascii="宋体" w:hAnsi="宋体" w:eastAsia="宋体"/>
                <w:sz w:val="24"/>
                <w:szCs w:val="24"/>
              </w:rPr>
              <w:t>不同选科组合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985" w:type="dxa"/>
          </w:tcPr>
          <w:p>
            <w:pPr>
              <w:jc w:val="center"/>
              <w:rPr>
                <w:rFonts w:ascii="宋体" w:hAnsi="宋体" w:eastAsia="宋体"/>
                <w:sz w:val="24"/>
                <w:szCs w:val="24"/>
              </w:rPr>
            </w:pPr>
            <w:r>
              <w:rPr>
                <w:rFonts w:ascii="宋体" w:hAnsi="宋体" w:eastAsia="宋体"/>
                <w:sz w:val="24"/>
                <w:szCs w:val="24"/>
              </w:rPr>
              <w:t>H</w:t>
            </w:r>
            <w:r>
              <w:rPr>
                <w:rFonts w:hint="eastAsia" w:ascii="宋体" w:hAnsi="宋体" w:eastAsia="宋体"/>
                <w:sz w:val="24"/>
                <w:szCs w:val="24"/>
              </w:rPr>
              <w:t>i（i=1—6）</w:t>
            </w:r>
          </w:p>
        </w:tc>
        <w:tc>
          <w:tcPr>
            <w:tcW w:w="3715" w:type="dxa"/>
          </w:tcPr>
          <w:p>
            <w:pPr>
              <w:jc w:val="center"/>
              <w:rPr>
                <w:rFonts w:hint="eastAsia" w:ascii="宋体" w:hAnsi="宋体" w:eastAsia="宋体"/>
                <w:sz w:val="24"/>
                <w:szCs w:val="24"/>
              </w:rPr>
            </w:pPr>
            <w:r>
              <w:rPr>
                <w:rFonts w:hint="eastAsia" w:ascii="宋体" w:hAnsi="宋体" w:eastAsia="宋体"/>
                <w:sz w:val="24"/>
                <w:szCs w:val="24"/>
              </w:rPr>
              <w:t>各科目占总科目之比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985" w:type="dxa"/>
          </w:tcPr>
          <w:p>
            <w:pPr>
              <w:jc w:val="center"/>
              <w:rPr>
                <w:rFonts w:ascii="宋体" w:hAnsi="宋体" w:eastAsia="宋体"/>
                <w:sz w:val="24"/>
                <w:szCs w:val="24"/>
              </w:rPr>
            </w:pPr>
            <w:r>
              <w:rPr>
                <w:rFonts w:ascii="宋体" w:hAnsi="宋体" w:eastAsia="宋体"/>
                <w:sz w:val="24"/>
                <w:szCs w:val="24"/>
              </w:rPr>
              <w:t>X</w:t>
            </w:r>
            <w:r>
              <w:rPr>
                <w:rFonts w:hint="eastAsia" w:ascii="宋体" w:hAnsi="宋体" w:eastAsia="宋体"/>
                <w:sz w:val="24"/>
                <w:szCs w:val="24"/>
              </w:rPr>
              <w:t>i（i=1—6）</w:t>
            </w:r>
          </w:p>
        </w:tc>
        <w:tc>
          <w:tcPr>
            <w:tcW w:w="3715" w:type="dxa"/>
          </w:tcPr>
          <w:p>
            <w:pPr>
              <w:jc w:val="center"/>
              <w:rPr>
                <w:rFonts w:ascii="宋体" w:hAnsi="宋体" w:eastAsia="宋体"/>
                <w:sz w:val="24"/>
                <w:szCs w:val="24"/>
              </w:rPr>
            </w:pPr>
            <w:r>
              <w:rPr>
                <w:rFonts w:hint="eastAsia" w:ascii="宋体" w:hAnsi="宋体" w:eastAsia="宋体"/>
                <w:sz w:val="24"/>
                <w:szCs w:val="24"/>
              </w:rPr>
              <w:t>不同科目代课老师数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985" w:type="dxa"/>
          </w:tcPr>
          <w:p>
            <w:pPr>
              <w:jc w:val="center"/>
              <w:rPr>
                <w:rFonts w:ascii="宋体" w:hAnsi="宋体" w:eastAsia="宋体"/>
                <w:sz w:val="24"/>
                <w:szCs w:val="24"/>
              </w:rPr>
            </w:pPr>
            <w:r>
              <w:rPr>
                <w:rFonts w:hint="eastAsia" w:ascii="宋体" w:hAnsi="宋体" w:eastAsia="宋体"/>
                <w:sz w:val="24"/>
                <w:szCs w:val="24"/>
              </w:rPr>
              <w:t>Pi（i=1—6）</w:t>
            </w:r>
          </w:p>
        </w:tc>
        <w:tc>
          <w:tcPr>
            <w:tcW w:w="3715" w:type="dxa"/>
          </w:tcPr>
          <w:p>
            <w:pPr>
              <w:jc w:val="center"/>
              <w:rPr>
                <w:rFonts w:ascii="宋体" w:hAnsi="宋体" w:eastAsia="宋体"/>
                <w:sz w:val="24"/>
                <w:szCs w:val="24"/>
              </w:rPr>
            </w:pPr>
            <w:r>
              <w:rPr>
                <w:rFonts w:hint="eastAsia" w:ascii="宋体" w:hAnsi="宋体" w:eastAsia="宋体"/>
                <w:sz w:val="24"/>
                <w:szCs w:val="24"/>
              </w:rPr>
              <w:t>不同代课老师的所占比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985" w:type="dxa"/>
          </w:tcPr>
          <w:p>
            <w:pPr>
              <w:jc w:val="center"/>
              <w:rPr>
                <w:rFonts w:ascii="Cambria Math" w:hAnsi="Cambria Math" w:cs="Cambria Math"/>
              </w:rPr>
            </w:pPr>
            <w:r>
              <w:rPr>
                <w:rFonts w:hint="eastAsia" w:ascii="宋体" w:hAnsi="宋体" w:eastAsia="宋体" w:cs="宋体"/>
                <w:kern w:val="0"/>
                <w:sz w:val="24"/>
                <w:szCs w:val="24"/>
              </w:rPr>
              <w:t>N</w:t>
            </w:r>
          </w:p>
        </w:tc>
        <w:tc>
          <w:tcPr>
            <w:tcW w:w="3715" w:type="dxa"/>
          </w:tcPr>
          <w:p>
            <w:pPr>
              <w:jc w:val="center"/>
              <w:rPr>
                <w:rFonts w:ascii="Cambria Math" w:hAnsi="Cambria Math" w:cs="Cambria Math"/>
              </w:rPr>
            </w:pPr>
            <w:r>
              <w:rPr>
                <w:rFonts w:ascii="宋体" w:hAnsi="宋体" w:eastAsia="宋体" w:cs="宋体"/>
                <w:kern w:val="0"/>
                <w:sz w:val="24"/>
                <w:szCs w:val="24"/>
              </w:rPr>
              <w:t>学校老师总数量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985" w:type="dxa"/>
          </w:tcPr>
          <w:p>
            <w:pPr>
              <w:jc w:val="center"/>
              <w:rPr>
                <w:rFonts w:hint="eastAsia" w:ascii="宋体" w:hAnsi="宋体" w:eastAsia="宋体" w:cs="宋体"/>
                <w:kern w:val="0"/>
                <w:sz w:val="24"/>
                <w:szCs w:val="24"/>
              </w:rPr>
            </w:pPr>
            <w:r>
              <w:rPr>
                <w:rFonts w:hint="eastAsia" w:ascii="宋体" w:hAnsi="宋体" w:eastAsia="宋体" w:cs="宋体"/>
                <w:kern w:val="0"/>
                <w:sz w:val="24"/>
                <w:szCs w:val="24"/>
              </w:rPr>
              <w:t>M</w:t>
            </w:r>
          </w:p>
        </w:tc>
        <w:tc>
          <w:tcPr>
            <w:tcW w:w="3715" w:type="dxa"/>
          </w:tcPr>
          <w:p>
            <w:pPr>
              <w:jc w:val="center"/>
              <w:rPr>
                <w:rFonts w:ascii="宋体" w:hAnsi="宋体" w:eastAsia="宋体" w:cs="宋体"/>
                <w:kern w:val="0"/>
                <w:sz w:val="24"/>
                <w:szCs w:val="24"/>
              </w:rPr>
            </w:pPr>
            <w:r>
              <w:rPr>
                <w:rFonts w:hint="eastAsia" w:ascii="宋体" w:hAnsi="宋体" w:eastAsia="宋体" w:cs="宋体"/>
                <w:kern w:val="0"/>
                <w:sz w:val="24"/>
                <w:szCs w:val="24"/>
              </w:rPr>
              <w:t>上海市2017年高考总人数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985" w:type="dxa"/>
          </w:tcPr>
          <w:p>
            <w:pPr>
              <w:jc w:val="center"/>
              <w:rPr>
                <w:rFonts w:ascii="宋体" w:hAnsi="宋体" w:eastAsia="宋体" w:cs="宋体"/>
                <w:kern w:val="0"/>
                <w:sz w:val="24"/>
                <w:szCs w:val="24"/>
              </w:rPr>
            </w:pPr>
            <w:r>
              <w:rPr>
                <w:rFonts w:hint="eastAsia" w:ascii="宋体" w:hAnsi="宋体" w:eastAsia="宋体" w:cs="宋体"/>
                <w:kern w:val="0"/>
                <w:sz w:val="24"/>
                <w:szCs w:val="24"/>
              </w:rPr>
              <w:t>A—</w:t>
            </w:r>
            <w:r>
              <w:rPr>
                <w:rFonts w:ascii="宋体" w:hAnsi="宋体" w:eastAsia="宋体" w:cs="宋体"/>
                <w:kern w:val="0"/>
                <w:sz w:val="24"/>
                <w:szCs w:val="24"/>
              </w:rPr>
              <w:t>F</w:t>
            </w:r>
          </w:p>
        </w:tc>
        <w:tc>
          <w:tcPr>
            <w:tcW w:w="3715" w:type="dxa"/>
          </w:tcPr>
          <w:p>
            <w:pPr>
              <w:jc w:val="center"/>
              <w:rPr>
                <w:rFonts w:ascii="宋体" w:hAnsi="宋体" w:eastAsia="宋体" w:cs="宋体"/>
                <w:kern w:val="0"/>
                <w:sz w:val="24"/>
                <w:szCs w:val="24"/>
              </w:rPr>
            </w:pPr>
            <w:r>
              <w:rPr>
                <w:rFonts w:hint="eastAsia" w:ascii="宋体" w:hAnsi="宋体" w:eastAsia="宋体" w:cs="宋体"/>
                <w:kern w:val="0"/>
                <w:sz w:val="24"/>
                <w:szCs w:val="24"/>
              </w:rPr>
              <w:t>学校所属不同地区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985" w:type="dxa"/>
          </w:tcPr>
          <w:p>
            <w:pPr>
              <w:jc w:val="center"/>
              <w:rPr>
                <w:rFonts w:ascii="宋体" w:hAnsi="宋体" w:eastAsia="宋体" w:cs="宋体"/>
                <w:kern w:val="0"/>
                <w:sz w:val="24"/>
                <w:szCs w:val="24"/>
              </w:rPr>
            </w:pPr>
            <w:r>
              <w:rPr>
                <w:rFonts w:hint="eastAsia" w:ascii="宋体" w:hAnsi="宋体" w:eastAsia="宋体" w:cs="宋体"/>
                <w:kern w:val="0"/>
                <w:sz w:val="24"/>
                <w:szCs w:val="24"/>
              </w:rPr>
              <w:t>a</w:t>
            </w:r>
          </w:p>
        </w:tc>
        <w:tc>
          <w:tcPr>
            <w:tcW w:w="3715" w:type="dxa"/>
          </w:tcPr>
          <w:p>
            <w:pPr>
              <w:jc w:val="center"/>
              <w:rPr>
                <w:rFonts w:ascii="宋体" w:hAnsi="宋体" w:eastAsia="宋体" w:cs="宋体"/>
                <w:kern w:val="0"/>
                <w:sz w:val="24"/>
                <w:szCs w:val="24"/>
              </w:rPr>
            </w:pPr>
            <w:r>
              <w:rPr>
                <w:rFonts w:hint="eastAsia" w:ascii="宋体" w:hAnsi="宋体" w:eastAsia="宋体" w:cs="宋体"/>
                <w:kern w:val="0"/>
                <w:sz w:val="24"/>
                <w:szCs w:val="24"/>
              </w:rPr>
              <w:t>2018年各单科选课比例估算值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985" w:type="dxa"/>
          </w:tcPr>
          <w:p>
            <w:pPr>
              <w:jc w:val="center"/>
              <w:rPr>
                <w:rFonts w:ascii="宋体" w:hAnsi="宋体" w:eastAsia="宋体" w:cs="宋体"/>
                <w:kern w:val="0"/>
                <w:sz w:val="24"/>
                <w:szCs w:val="24"/>
              </w:rPr>
            </w:pPr>
            <w:r>
              <w:rPr>
                <w:rFonts w:hint="eastAsia" w:ascii="宋体" w:hAnsi="宋体" w:eastAsia="宋体" w:cs="宋体"/>
                <w:kern w:val="0"/>
                <w:sz w:val="24"/>
                <w:szCs w:val="24"/>
              </w:rPr>
              <w:t>b</w:t>
            </w:r>
          </w:p>
        </w:tc>
        <w:tc>
          <w:tcPr>
            <w:tcW w:w="3715" w:type="dxa"/>
          </w:tcPr>
          <w:p>
            <w:pPr>
              <w:jc w:val="center"/>
              <w:rPr>
                <w:rFonts w:ascii="宋体" w:hAnsi="宋体" w:eastAsia="宋体" w:cs="宋体"/>
                <w:kern w:val="0"/>
                <w:sz w:val="24"/>
                <w:szCs w:val="24"/>
              </w:rPr>
            </w:pPr>
            <w:r>
              <w:rPr>
                <w:rFonts w:hint="eastAsia" w:ascii="宋体" w:hAnsi="宋体" w:eastAsia="宋体" w:cs="宋体"/>
                <w:kern w:val="0"/>
                <w:sz w:val="24"/>
                <w:szCs w:val="24"/>
              </w:rPr>
              <w:t>2018年各单科选课比例计算值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985" w:type="dxa"/>
          </w:tcPr>
          <w:p>
            <w:pPr>
              <w:jc w:val="center"/>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or</w:t>
            </w:r>
          </w:p>
        </w:tc>
        <w:tc>
          <w:tcPr>
            <w:tcW w:w="3715" w:type="dxa"/>
          </w:tcPr>
          <w:p>
            <w:pPr>
              <w:jc w:val="center"/>
              <w:rPr>
                <w:rFonts w:ascii="宋体" w:hAnsi="宋体" w:eastAsia="宋体" w:cs="宋体"/>
                <w:kern w:val="0"/>
                <w:sz w:val="24"/>
                <w:szCs w:val="24"/>
              </w:rPr>
            </w:pPr>
            <w:r>
              <w:rPr>
                <w:rFonts w:hint="eastAsia" w:ascii="宋体" w:hAnsi="宋体" w:eastAsia="宋体" w:cs="宋体"/>
                <w:kern w:val="0"/>
                <w:sz w:val="24"/>
                <w:szCs w:val="24"/>
              </w:rPr>
              <w:t>循环语句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985" w:type="dxa"/>
          </w:tcPr>
          <w:p>
            <w:pPr>
              <w:jc w:val="center"/>
              <w:rPr>
                <w:rFonts w:ascii="宋体" w:hAnsi="宋体" w:eastAsia="宋体" w:cs="宋体"/>
                <w:kern w:val="0"/>
                <w:sz w:val="24"/>
                <w:szCs w:val="24"/>
              </w:rPr>
            </w:pPr>
            <w:r>
              <w:rPr>
                <w:rFonts w:hint="eastAsia" w:ascii="宋体" w:hAnsi="宋体" w:eastAsia="宋体" w:cs="宋体"/>
                <w:kern w:val="0"/>
                <w:sz w:val="24"/>
                <w:szCs w:val="24"/>
              </w:rPr>
              <w:t>d</w:t>
            </w:r>
            <w:r>
              <w:rPr>
                <w:rFonts w:ascii="宋体" w:hAnsi="宋体" w:eastAsia="宋体" w:cs="宋体"/>
                <w:kern w:val="0"/>
                <w:sz w:val="24"/>
                <w:szCs w:val="24"/>
              </w:rPr>
              <w:t>ouble</w:t>
            </w:r>
          </w:p>
        </w:tc>
        <w:tc>
          <w:tcPr>
            <w:tcW w:w="3715" w:type="dxa"/>
          </w:tcPr>
          <w:p>
            <w:pPr>
              <w:jc w:val="center"/>
              <w:rPr>
                <w:rFonts w:ascii="宋体" w:hAnsi="宋体" w:eastAsia="宋体" w:cs="宋体"/>
                <w:kern w:val="0"/>
                <w:sz w:val="24"/>
                <w:szCs w:val="24"/>
              </w:rPr>
            </w:pPr>
            <w:r>
              <w:rPr>
                <w:rFonts w:hint="eastAsia" w:ascii="宋体" w:hAnsi="宋体" w:eastAsia="宋体" w:cs="宋体"/>
                <w:kern w:val="0"/>
                <w:sz w:val="24"/>
                <w:szCs w:val="24"/>
              </w:rPr>
              <w:t>双精度数据</w:t>
            </w:r>
          </w:p>
        </w:tc>
      </w:tr>
    </w:tbl>
    <w:p>
      <w:pPr>
        <w:rPr>
          <w:rFonts w:hint="eastAsia" w:ascii="Cambria Math" w:hAnsi="Cambria Math" w:cs="Cambria Math"/>
        </w:rPr>
      </w:pPr>
    </w:p>
    <w:p>
      <w:pPr>
        <w:pStyle w:val="2"/>
        <w:keepNext/>
        <w:keepLines/>
        <w:pageBreakBefore w:val="0"/>
        <w:widowControl w:val="0"/>
        <w:kinsoku/>
        <w:wordWrap/>
        <w:overflowPunct/>
        <w:topLinePunct w:val="0"/>
        <w:autoSpaceDE/>
        <w:autoSpaceDN/>
        <w:bidi w:val="0"/>
        <w:adjustRightInd/>
        <w:snapToGrid/>
        <w:spacing w:before="160" w:after="160" w:line="579" w:lineRule="auto"/>
        <w:jc w:val="center"/>
        <w:textAlignment w:val="auto"/>
        <w:rPr>
          <w:rFonts w:hint="eastAsia" w:ascii="黑体" w:hAnsi="黑体" w:eastAsia="黑体"/>
          <w:sz w:val="28"/>
          <w:szCs w:val="28"/>
        </w:rPr>
      </w:pPr>
      <w:bookmarkStart w:id="0" w:name="_Hlk8562934"/>
      <w:r>
        <w:rPr>
          <w:rFonts w:hint="eastAsia" w:ascii="黑体" w:hAnsi="黑体" w:eastAsia="黑体"/>
          <w:sz w:val="28"/>
          <w:szCs w:val="28"/>
        </w:rPr>
        <w:t>五、模型建立</w:t>
      </w:r>
    </w:p>
    <w:p>
      <w:pPr>
        <w:keepNext w:val="0"/>
        <w:keepLines w:val="0"/>
        <w:pageBreakBefore w:val="0"/>
        <w:widowControl w:val="0"/>
        <w:kinsoku/>
        <w:wordWrap/>
        <w:overflowPunct/>
        <w:topLinePunct w:val="0"/>
        <w:autoSpaceDE/>
        <w:autoSpaceDN/>
        <w:bidi w:val="0"/>
        <w:adjustRightInd/>
        <w:snapToGrid/>
        <w:spacing w:before="100" w:after="100"/>
        <w:textAlignment w:val="auto"/>
        <w:rPr>
          <w:rFonts w:ascii="黑体" w:hAnsi="黑体" w:eastAsia="黑体"/>
          <w:b/>
          <w:bCs/>
          <w:color w:val="000000" w:themeColor="text1"/>
          <w:sz w:val="24"/>
          <w:szCs w:val="24"/>
          <w14:textFill>
            <w14:solidFill>
              <w14:schemeClr w14:val="tx1"/>
            </w14:solidFill>
          </w14:textFill>
        </w:rPr>
      </w:pPr>
      <w:r>
        <w:rPr>
          <w:rFonts w:hint="eastAsia" w:ascii="黑体" w:hAnsi="黑体" w:eastAsia="黑体"/>
          <w:b/>
          <w:bCs/>
          <w:color w:val="000000" w:themeColor="text1"/>
          <w:sz w:val="24"/>
          <w:szCs w:val="24"/>
          <w:lang w:val="en-US" w:eastAsia="zh-CN"/>
          <w14:textFill>
            <w14:solidFill>
              <w14:schemeClr w14:val="tx1"/>
            </w14:solidFill>
          </w14:textFill>
        </w:rPr>
        <w:t>1、</w:t>
      </w:r>
      <w:r>
        <w:rPr>
          <w:rFonts w:hint="eastAsia" w:ascii="黑体" w:hAnsi="黑体" w:eastAsia="黑体"/>
          <w:b/>
          <w:bCs/>
          <w:color w:val="000000" w:themeColor="text1"/>
          <w:sz w:val="24"/>
          <w:szCs w:val="24"/>
          <w14:textFill>
            <w14:solidFill>
              <w14:schemeClr w14:val="tx1"/>
            </w14:solidFill>
          </w14:textFill>
        </w:rPr>
        <w:t>选科比例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（1）问题分析：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lang w:val="en-US" w:eastAsia="zh-CN"/>
        </w:rPr>
        <w:t>A.</w:t>
      </w:r>
      <w:r>
        <w:rPr>
          <w:rFonts w:hint="eastAsia" w:ascii="宋体" w:hAnsi="宋体" w:eastAsia="宋体"/>
          <w:sz w:val="24"/>
          <w:szCs w:val="24"/>
        </w:rPr>
        <w:t>每年高考选考情况大致相同，估算高考选考情况2017年与2018年选考差距不大，所以利用2017年上海市考生选考组合情况计算得2017年各组合选考人数比例，利用2018年上海市考生总人数来计算各个选考组合人数，再计算得上海市2018年各科目选考人数，计算2018年各单科选考比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lang w:val="en-US" w:eastAsia="zh-CN"/>
        </w:rPr>
        <w:t>B.</w:t>
      </w:r>
      <w:r>
        <w:rPr>
          <w:rFonts w:hint="eastAsia" w:ascii="宋体" w:hAnsi="宋体" w:eastAsia="宋体"/>
          <w:sz w:val="24"/>
          <w:szCs w:val="24"/>
        </w:rPr>
        <w:t>分析科目选考优劣势，生物和地理学科等级考时间为高二,选地理，优势有三。首先，地理等级考时间为高二5月，与生物同享这一优势。其次，地理考纲内容少、记忆内容少，等于说花费的时间少，不消耗过多精力。第三，选择地理的学生层次分布均匀，不会出现像物理那样学霸PK的状况。相比地理，生物同享高二先考这一优势。但是选择生物，意味着你的对手是最弱的,最利于你拿高分。对手越弱，你的相对排位越高。唯一的问题是，相比于地理，生物的考纲内容不算少，但因为高二提前考，这个问题几乎可以忽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不建议同时选物理和化学</w:t>
      </w:r>
      <w:r>
        <w:rPr>
          <w:rFonts w:hint="eastAsia" w:ascii="宋体" w:hAnsi="宋体" w:eastAsia="宋体"/>
          <w:sz w:val="24"/>
          <w:szCs w:val="24"/>
          <w:lang w:val="en-US" w:eastAsia="zh-CN"/>
        </w:rPr>
        <w:t>,</w:t>
      </w:r>
      <w:r>
        <w:rPr>
          <w:rFonts w:hint="eastAsia" w:ascii="宋体" w:hAnsi="宋体" w:eastAsia="宋体"/>
          <w:sz w:val="24"/>
          <w:szCs w:val="24"/>
        </w:rPr>
        <w:t>选择物理或是化学，其实都与高考专业选择挂钩。大多数工科专业都要求必选物理，比如土木、建筑、机械、交运、船舶、软件工程等。而选化学，除了化工类专业外，也可以报经管类热门专业。部分高中明确说了，不鼓励同学同时报物理和化学。因为这两科都属于高分段学生多于低分段学生的，按照相对排名来算是吃亏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选历史和选政治其实没有本质区别。今年很多学生的标配都是"生物、地理、物理”或是”生物、地理、化学”。当然，如果不打算同时选生物和地理的话，也就意味着必须在高三的历史和政治中二选一。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（2）相关计算：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根据分析科目受欢迎程度可估计每单科选考比例，化学（0.16）、物理（0.14）、生物（0.2）、政治（0.12）、历史（0.18）、地理（0.2）。比较计算单科选考比例以及估算单科选考比例，其两者不存在显著性差异，故用2017年数据计算2018年选考情况是合理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（3）基本模型：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设各个选考组合为Z1--Z20；M为2018年上海市高考总人数；化学为X1、物理为X2、生物为X3、政治为X4、历史为X5、生物为X6；分别用选考每科人数相加除以总人数M，得到每单科比例；然后将所得比例与估算的单科选科比例作比较，不存在显著性差异，故用2017年数据计算2018年选考情况是合理的。</w:t>
      </w:r>
    </w:p>
    <w:p>
      <w:pPr>
        <w:keepNext w:val="0"/>
        <w:keepLines w:val="0"/>
        <w:pageBreakBefore w:val="0"/>
        <w:widowControl/>
        <w:kinsoku/>
        <w:wordWrap/>
        <w:overflowPunct/>
        <w:topLinePunct w:val="0"/>
        <w:autoSpaceDE/>
        <w:autoSpaceDN/>
        <w:bidi w:val="0"/>
        <w:adjustRightInd/>
        <w:snapToGrid/>
        <w:spacing w:before="100" w:after="100"/>
        <w:jc w:val="left"/>
        <w:textAlignment w:val="auto"/>
        <w:rPr>
          <w:rFonts w:ascii="黑体" w:hAnsi="黑体" w:eastAsia="黑体"/>
          <w:b/>
          <w:bCs/>
          <w:sz w:val="24"/>
          <w:szCs w:val="24"/>
        </w:rPr>
      </w:pPr>
      <w:r>
        <w:rPr>
          <w:rFonts w:hint="eastAsia" w:ascii="黑体" w:hAnsi="黑体" w:eastAsia="黑体"/>
          <w:b/>
          <w:bCs/>
          <w:sz w:val="24"/>
          <w:szCs w:val="24"/>
          <w:lang w:val="en-US" w:eastAsia="zh-CN"/>
        </w:rPr>
        <w:t>2、</w:t>
      </w:r>
      <w:r>
        <w:rPr>
          <w:rFonts w:hint="eastAsia" w:ascii="黑体" w:hAnsi="黑体" w:eastAsia="黑体"/>
          <w:b/>
          <w:bCs/>
          <w:sz w:val="24"/>
          <w:szCs w:val="24"/>
        </w:rPr>
        <w:t>师资缺口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（1）问题分析：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由问题一所得出的单科选科比例，与各个学校的师资情况进行比较从而得出各个学校在师资方面的缺口。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（2）公式推导：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设A学校，有物理老师X1，化学老师为X2,生物老师X3，政治老师X4，历史老师X5，地理老师X6.设A校教师总人数为</w:t>
      </w:r>
      <m:oMath>
        <m:r>
          <m:rPr>
            <m:sty m:val="p"/>
          </m:rPr>
          <w:rPr>
            <w:rFonts w:hint="eastAsia" w:ascii="Cambria Math" w:hAnsi="Cambria Math" w:eastAsia="宋体"/>
            <w:sz w:val="24"/>
            <w:szCs w:val="24"/>
          </w:rPr>
          <m:t>N=</m:t>
        </m:r>
        <m:nary>
          <m:naryPr>
            <m:chr m:val="∑"/>
            <m:limLoc m:val="undOvr"/>
            <m:ctrlPr>
              <w:rPr>
                <w:rFonts w:hint="eastAsia" w:ascii="Cambria Math" w:hAnsi="Cambria Math" w:eastAsia="宋体"/>
                <w:sz w:val="24"/>
                <w:szCs w:val="24"/>
              </w:rPr>
            </m:ctrlPr>
          </m:naryPr>
          <m:sub>
            <m:r>
              <m:rPr>
                <m:sty m:val="p"/>
              </m:rPr>
              <w:rPr>
                <w:rFonts w:hint="eastAsia" w:ascii="Cambria Math" w:hAnsi="Cambria Math" w:eastAsia="宋体"/>
                <w:sz w:val="24"/>
                <w:szCs w:val="24"/>
              </w:rPr>
              <m:t>i=1</m:t>
            </m:r>
            <m:ctrlPr>
              <w:rPr>
                <w:rFonts w:hint="eastAsia" w:ascii="Cambria Math" w:hAnsi="Cambria Math" w:eastAsia="宋体"/>
                <w:sz w:val="24"/>
                <w:szCs w:val="24"/>
              </w:rPr>
            </m:ctrlPr>
          </m:sub>
          <m:sup>
            <m:r>
              <m:rPr>
                <m:sty m:val="p"/>
              </m:rPr>
              <w:rPr>
                <w:rFonts w:hint="eastAsia" w:ascii="Cambria Math" w:hAnsi="Cambria Math" w:eastAsia="宋体"/>
                <w:sz w:val="24"/>
                <w:szCs w:val="24"/>
              </w:rPr>
              <m:t>6</m:t>
            </m:r>
            <m:ctrlPr>
              <w:rPr>
                <w:rFonts w:hint="eastAsia" w:ascii="Cambria Math" w:hAnsi="Cambria Math" w:eastAsia="宋体"/>
                <w:sz w:val="24"/>
                <w:szCs w:val="24"/>
              </w:rPr>
            </m:ctrlPr>
          </m:sup>
          <m:e>
            <m:r>
              <m:rPr>
                <m:sty m:val="p"/>
              </m:rPr>
              <w:rPr>
                <w:rFonts w:hint="eastAsia" w:ascii="Cambria Math" w:hAnsi="Cambria Math" w:eastAsia="宋体"/>
                <w:sz w:val="24"/>
                <w:szCs w:val="24"/>
              </w:rPr>
              <m:t>Xi</m:t>
            </m:r>
            <m:ctrlPr>
              <w:rPr>
                <w:rFonts w:hint="eastAsia" w:ascii="Cambria Math" w:hAnsi="Cambria Math" w:eastAsia="宋体"/>
                <w:sz w:val="24"/>
                <w:szCs w:val="24"/>
              </w:rPr>
            </m:ctrlPr>
          </m:e>
        </m:nary>
      </m:oMath>
      <w:r>
        <w:rPr>
          <w:rFonts w:hint="eastAsia" w:ascii="宋体" w:hAnsi="宋体" w:eastAsia="宋体"/>
          <w:sz w:val="24"/>
          <w:szCs w:val="24"/>
        </w:rPr>
        <w:t xml:space="preserve">，则表示不同代课老师的所占老师总人数的比例：P1=X1/N、P2=X2/N、P3=X3/N、P4=X4/N、P5=X5/N、P6=X6/N，与第一问中的各单科的选课占比相比较，对应科目的选课比例与对应科目教师的比例作差值比较。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（3）基本模型：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设A学校的物理老师为X1，化学老师为X2,生物老师X3，政治老师X4，历史老师X5，地理老师X6，N表示A学校中各科目老师总数量，分别用各科老师人数X1-X6比老师总人数N， 得到每个学校各科目老师的比例，然后将所得比例与问题一中的单科选科比例作比较，从而的出各个科目老师的缺口所占的比例，再乘以学校的师资数量就可以得到缺口科目老师的具体数量得出师资的缺口。</w:t>
      </w:r>
    </w:p>
    <w:p>
      <w:pPr>
        <w:keepNext w:val="0"/>
        <w:keepLines w:val="0"/>
        <w:pageBreakBefore w:val="0"/>
        <w:widowControl/>
        <w:kinsoku/>
        <w:wordWrap/>
        <w:overflowPunct/>
        <w:topLinePunct w:val="0"/>
        <w:autoSpaceDE/>
        <w:autoSpaceDN/>
        <w:bidi w:val="0"/>
        <w:adjustRightInd/>
        <w:snapToGrid/>
        <w:spacing w:before="100" w:after="100"/>
        <w:jc w:val="left"/>
        <w:textAlignment w:val="auto"/>
        <w:rPr>
          <w:rFonts w:ascii="黑体" w:hAnsi="黑体" w:eastAsia="黑体"/>
          <w:b/>
          <w:bCs/>
          <w:sz w:val="24"/>
          <w:szCs w:val="24"/>
        </w:rPr>
      </w:pPr>
      <w:r>
        <w:rPr>
          <w:rFonts w:hint="eastAsia" w:ascii="黑体" w:hAnsi="黑体" w:eastAsia="黑体"/>
          <w:b/>
          <w:bCs/>
          <w:sz w:val="24"/>
          <w:szCs w:val="24"/>
          <w:lang w:val="en-US" w:eastAsia="zh-CN"/>
        </w:rPr>
        <w:t>3、</w:t>
      </w:r>
      <w:r>
        <w:rPr>
          <w:rFonts w:hint="eastAsia" w:ascii="黑体" w:hAnsi="黑体" w:eastAsia="黑体"/>
          <w:b/>
          <w:bCs/>
          <w:sz w:val="24"/>
          <w:szCs w:val="24"/>
        </w:rPr>
        <w:t>“菜单式”选科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（1）问题分析：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结合各项数据，分析计算出各项所需条件和问题结果。根据往年选课情况给出三个解决问题的方案</w:t>
      </w:r>
      <w:r>
        <w:rPr>
          <w:rFonts w:hint="eastAsia" w:ascii="宋体" w:hAnsi="宋体" w:eastAsia="宋体"/>
          <w:sz w:val="24"/>
          <w:szCs w:val="24"/>
          <w:lang w:eastAsia="zh-CN"/>
        </w:rPr>
        <w:t>，</w:t>
      </w:r>
      <w:r>
        <w:rPr>
          <w:rFonts w:hint="eastAsia" w:ascii="宋体" w:hAnsi="宋体" w:eastAsia="宋体"/>
          <w:sz w:val="24"/>
          <w:szCs w:val="24"/>
          <w:lang w:val="en-US" w:eastAsia="zh-CN"/>
        </w:rPr>
        <w:t>方案一：</w:t>
      </w:r>
      <w:r>
        <w:rPr>
          <w:rFonts w:hint="eastAsia" w:ascii="宋体" w:hAnsi="宋体" w:eastAsia="宋体"/>
          <w:sz w:val="24"/>
          <w:szCs w:val="24"/>
        </w:rPr>
        <w:t xml:space="preserve">“以多带少”，即为了防止教师资源低效化，将课程融合再一次。方案二：“科目难易”，即为了教学效果更有成效，选择录取率较高的组合。方案三：“必要选择”，即，物理作为重要科目，历史作为政治需求，物理和历史必须二选一。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（2）基本模型：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根据各个学校的教师缺口数，教学资源的缺口数，主要分成两个方面来提供选择：</w:t>
      </w:r>
      <w:r>
        <w:rPr>
          <w:rFonts w:hint="eastAsia" w:ascii="宋体" w:hAnsi="宋体" w:eastAsia="宋体"/>
          <w:sz w:val="24"/>
          <w:szCs w:val="24"/>
          <w:lang w:val="en-US" w:eastAsia="zh-CN"/>
        </w:rPr>
        <w:t>A.</w:t>
      </w:r>
      <w:r>
        <w:rPr>
          <w:rFonts w:hint="eastAsia" w:ascii="宋体" w:hAnsi="宋体" w:eastAsia="宋体"/>
          <w:sz w:val="24"/>
          <w:szCs w:val="24"/>
        </w:rPr>
        <w:t>由师资力量的缺口来考虑，在保证各个学校师资配备能被有效利用且不产生缺口的前提下，再依据学生的爱好进行选科；</w:t>
      </w:r>
      <w:r>
        <w:rPr>
          <w:rFonts w:hint="eastAsia" w:ascii="宋体" w:hAnsi="宋体" w:eastAsia="宋体"/>
          <w:sz w:val="24"/>
          <w:szCs w:val="24"/>
          <w:lang w:val="en-US" w:eastAsia="zh-CN"/>
        </w:rPr>
        <w:t>B.</w:t>
      </w:r>
      <w:r>
        <w:rPr>
          <w:rFonts w:hint="eastAsia" w:ascii="宋体" w:hAnsi="宋体" w:eastAsia="宋体"/>
          <w:sz w:val="24"/>
          <w:szCs w:val="24"/>
        </w:rPr>
        <w:t>由教学资源的缺口来考虑，为了不浪费教学资源（教室等），再多考虑了各个选科组合的录取率在98.5%进行选科。</w:t>
      </w:r>
      <w:r>
        <w:rPr>
          <w:rFonts w:hint="eastAsia" w:ascii="宋体" w:hAnsi="宋体" w:eastAsia="宋体"/>
          <w:sz w:val="24"/>
          <w:szCs w:val="24"/>
          <w:lang w:val="en-US" w:eastAsia="zh-CN"/>
        </w:rPr>
        <w:t>C.</w:t>
      </w:r>
      <w:r>
        <w:rPr>
          <w:rFonts w:hint="eastAsia" w:ascii="宋体" w:hAnsi="宋体" w:eastAsia="宋体"/>
          <w:sz w:val="24"/>
          <w:szCs w:val="24"/>
        </w:rPr>
        <w:t>据社会需求及之后科目的发展情况考虑，物理作为重要科目，历史作为政治需求，物理和历史必须二选一。</w:t>
      </w:r>
      <w:bookmarkEnd w:id="0"/>
    </w:p>
    <w:p>
      <w:pPr>
        <w:pStyle w:val="2"/>
        <w:keepNext/>
        <w:keepLines/>
        <w:pageBreakBefore w:val="0"/>
        <w:widowControl w:val="0"/>
        <w:kinsoku/>
        <w:wordWrap/>
        <w:overflowPunct/>
        <w:topLinePunct w:val="0"/>
        <w:autoSpaceDE/>
        <w:autoSpaceDN/>
        <w:bidi w:val="0"/>
        <w:adjustRightInd/>
        <w:snapToGrid/>
        <w:spacing w:before="160" w:after="160" w:line="579" w:lineRule="auto"/>
        <w:jc w:val="center"/>
        <w:textAlignment w:val="auto"/>
        <w:rPr>
          <w:rFonts w:hint="eastAsia" w:ascii="黑体" w:hAnsi="黑体" w:eastAsia="黑体"/>
          <w:sz w:val="28"/>
          <w:szCs w:val="28"/>
        </w:rPr>
      </w:pPr>
      <w:r>
        <w:rPr>
          <w:rFonts w:hint="eastAsia" w:ascii="黑体" w:hAnsi="黑体" w:eastAsia="黑体"/>
          <w:sz w:val="28"/>
          <w:szCs w:val="28"/>
        </w:rPr>
        <w:t>六、模型求解</w:t>
      </w:r>
    </w:p>
    <w:p>
      <w:pPr>
        <w:keepNext w:val="0"/>
        <w:keepLines w:val="0"/>
        <w:pageBreakBefore w:val="0"/>
        <w:widowControl w:val="0"/>
        <w:kinsoku/>
        <w:wordWrap/>
        <w:overflowPunct/>
        <w:topLinePunct w:val="0"/>
        <w:autoSpaceDE/>
        <w:autoSpaceDN/>
        <w:bidi w:val="0"/>
        <w:adjustRightInd/>
        <w:snapToGrid/>
        <w:spacing w:before="100" w:after="100"/>
        <w:textAlignment w:val="auto"/>
        <w:rPr>
          <w:rFonts w:ascii="黑体" w:hAnsi="黑体" w:eastAsia="黑体"/>
          <w:b/>
          <w:bCs/>
          <w:color w:val="000000" w:themeColor="text1"/>
          <w:sz w:val="24"/>
          <w:szCs w:val="24"/>
          <w14:textFill>
            <w14:solidFill>
              <w14:schemeClr w14:val="tx1"/>
            </w14:solidFill>
          </w14:textFill>
        </w:rPr>
      </w:pPr>
      <w:r>
        <w:rPr>
          <w:rFonts w:hint="eastAsia" w:ascii="黑体" w:hAnsi="黑体" w:eastAsia="黑体"/>
          <w:b/>
          <w:bCs/>
          <w:color w:val="000000" w:themeColor="text1"/>
          <w:sz w:val="24"/>
          <w:szCs w:val="24"/>
          <w:lang w:val="en-US" w:eastAsia="zh-CN"/>
          <w14:textFill>
            <w14:solidFill>
              <w14:schemeClr w14:val="tx1"/>
            </w14:solidFill>
          </w14:textFill>
        </w:rPr>
        <w:t>1、</w:t>
      </w:r>
      <w:r>
        <w:rPr>
          <w:rFonts w:hint="eastAsia" w:ascii="黑体" w:hAnsi="黑体" w:eastAsia="黑体"/>
          <w:b/>
          <w:bCs/>
          <w:color w:val="000000" w:themeColor="text1"/>
          <w:sz w:val="24"/>
          <w:szCs w:val="24"/>
          <w14:textFill>
            <w14:solidFill>
              <w14:schemeClr w14:val="tx1"/>
            </w14:solidFill>
          </w14:textFill>
        </w:rPr>
        <w:t>估算选择不同科目组合的人数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rPr>
        <w:t>利用2017年上海市考生选考组合情况计算得2018年各组合选考人数比例，利用2018年上海市考生总人数来计算各个选考组合人数，再计算得上海市2018年各科目选考人数，计算2018年各单科选考比例。</w:t>
      </w:r>
      <w:r>
        <w:rPr>
          <w:rFonts w:hint="eastAsia" w:ascii="宋体" w:hAnsi="宋体" w:eastAsia="宋体"/>
          <w:sz w:val="24"/>
          <w:szCs w:val="24"/>
          <w:lang w:val="en-US" w:eastAsia="zh-CN"/>
        </w:rPr>
        <w:t>其中</w:t>
      </w:r>
      <w:r>
        <w:rPr>
          <w:rFonts w:hint="eastAsia" w:ascii="宋体" w:hAnsi="宋体" w:eastAsia="宋体"/>
          <w:sz w:val="24"/>
          <w:szCs w:val="24"/>
        </w:rPr>
        <w:t>分析</w:t>
      </w:r>
      <w:r>
        <w:rPr>
          <w:rFonts w:hint="eastAsia" w:ascii="宋体" w:hAnsi="宋体" w:eastAsia="宋体"/>
          <w:sz w:val="24"/>
          <w:szCs w:val="24"/>
          <w:lang w:val="en-US" w:eastAsia="zh-CN"/>
        </w:rPr>
        <w:t>了</w:t>
      </w:r>
      <w:r>
        <w:rPr>
          <w:rFonts w:hint="eastAsia" w:ascii="宋体" w:hAnsi="宋体" w:eastAsia="宋体"/>
          <w:sz w:val="24"/>
          <w:szCs w:val="24"/>
        </w:rPr>
        <w:t>科目选考优劣势</w:t>
      </w:r>
      <w:r>
        <w:rPr>
          <w:rFonts w:hint="eastAsia" w:ascii="宋体" w:hAnsi="宋体" w:eastAsia="宋体"/>
          <w:sz w:val="24"/>
          <w:szCs w:val="24"/>
          <w:lang w:eastAsia="zh-CN"/>
        </w:rPr>
        <w:t>，</w:t>
      </w:r>
      <w:r>
        <w:rPr>
          <w:rFonts w:hint="eastAsia" w:ascii="宋体" w:hAnsi="宋体" w:eastAsia="宋体"/>
          <w:sz w:val="24"/>
          <w:szCs w:val="24"/>
          <w:lang w:val="en-US" w:eastAsia="zh-CN"/>
        </w:rPr>
        <w:t>以及同学们的</w:t>
      </w:r>
      <w:r>
        <w:rPr>
          <w:rFonts w:hint="eastAsia" w:ascii="宋体" w:hAnsi="宋体" w:eastAsia="宋体"/>
          <w:sz w:val="24"/>
          <w:szCs w:val="24"/>
          <w:highlight w:val="none"/>
          <w:lang w:val="en-US" w:eastAsia="zh-CN"/>
        </w:rPr>
        <w:t>往年选科</w:t>
      </w:r>
      <w:r>
        <w:rPr>
          <w:rFonts w:hint="eastAsia" w:ascii="宋体" w:hAnsi="宋体" w:eastAsia="宋体"/>
          <w:sz w:val="24"/>
          <w:szCs w:val="24"/>
          <w:lang w:val="en-US" w:eastAsia="zh-CN"/>
        </w:rPr>
        <w:t>情况，完成了此题目的求解。求解主要过程如图6-1：</w:t>
      </w:r>
    </w:p>
    <w:p>
      <w:pPr>
        <w:widowControl/>
      </w:pPr>
      <w:r>
        <w:drawing>
          <wp:inline distT="0" distB="0" distL="0" distR="0">
            <wp:extent cx="5274310" cy="1582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582420"/>
                    </a:xfrm>
                    <a:prstGeom prst="rect">
                      <a:avLst/>
                    </a:prstGeom>
                  </pic:spPr>
                </pic:pic>
              </a:graphicData>
            </a:graphic>
          </wp:inline>
        </w:drawing>
      </w:r>
    </w:p>
    <w:p>
      <w:pPr>
        <w:ind w:firstLine="360" w:firstLineChars="200"/>
        <w:jc w:val="center"/>
        <w:rPr>
          <w:rFonts w:hint="default" w:ascii="宋体" w:hAnsi="宋体" w:eastAsia="宋体"/>
          <w:color w:val="7F7F7F" w:themeColor="background1" w:themeShade="80"/>
          <w:sz w:val="18"/>
          <w:szCs w:val="18"/>
          <w:lang w:val="en-US" w:eastAsia="zh-CN"/>
        </w:rPr>
      </w:pPr>
      <w:r>
        <w:rPr>
          <w:rFonts w:hint="eastAsia" w:ascii="宋体" w:hAnsi="宋体" w:eastAsia="宋体"/>
          <w:color w:val="7F7F7F" w:themeColor="background1" w:themeShade="80"/>
          <w:sz w:val="18"/>
          <w:szCs w:val="18"/>
          <w:lang w:val="en-US" w:eastAsia="zh-CN"/>
        </w:rPr>
        <w:t>图6-1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据调查得出</w:t>
      </w:r>
      <w:r>
        <w:rPr>
          <w:rFonts w:hint="eastAsia" w:ascii="宋体" w:hAnsi="宋体" w:eastAsia="宋体"/>
          <w:sz w:val="24"/>
          <w:szCs w:val="24"/>
        </w:rPr>
        <w:t>2017年</w:t>
      </w:r>
      <w:r>
        <w:rPr>
          <w:rFonts w:hint="eastAsia" w:ascii="宋体" w:hAnsi="宋体" w:eastAsia="宋体"/>
          <w:sz w:val="24"/>
          <w:szCs w:val="24"/>
          <w:lang w:val="en-US" w:eastAsia="zh-CN"/>
        </w:rPr>
        <w:t>的</w:t>
      </w:r>
      <w:r>
        <w:rPr>
          <w:rFonts w:hint="eastAsia" w:ascii="宋体" w:hAnsi="宋体" w:eastAsia="宋体"/>
          <w:sz w:val="24"/>
          <w:szCs w:val="24"/>
        </w:rPr>
        <w:t>选考</w:t>
      </w:r>
      <w:r>
        <w:rPr>
          <w:rFonts w:hint="eastAsia" w:ascii="宋体" w:hAnsi="宋体" w:eastAsia="宋体"/>
          <w:sz w:val="24"/>
          <w:szCs w:val="24"/>
          <w:lang w:val="en-US" w:eastAsia="zh-CN"/>
        </w:rPr>
        <w:t>总体情况，为之后的2018年各组合选考人数比例做出铺垫，由此也可以分析出</w:t>
      </w:r>
      <w:r>
        <w:rPr>
          <w:rFonts w:hint="eastAsia" w:ascii="宋体" w:hAnsi="宋体" w:eastAsia="宋体"/>
          <w:sz w:val="24"/>
          <w:szCs w:val="24"/>
        </w:rPr>
        <w:t>科目选考优劣势</w:t>
      </w:r>
      <w:r>
        <w:rPr>
          <w:rFonts w:hint="eastAsia" w:ascii="宋体" w:hAnsi="宋体" w:eastAsia="宋体"/>
          <w:sz w:val="24"/>
          <w:szCs w:val="24"/>
          <w:lang w:eastAsia="zh-CN"/>
        </w:rPr>
        <w:t>，</w:t>
      </w:r>
      <w:r>
        <w:rPr>
          <w:rFonts w:hint="eastAsia" w:ascii="宋体" w:hAnsi="宋体" w:eastAsia="宋体"/>
          <w:sz w:val="24"/>
          <w:szCs w:val="24"/>
          <w:lang w:val="en-US" w:eastAsia="zh-CN"/>
        </w:rPr>
        <w:t>例如地理和生物为多数人所选，历史和化学次之，物理和政治选择的人数最少，为后期估算选科比例做出相应的结果分析。</w:t>
      </w:r>
    </w:p>
    <w:p>
      <w:pPr>
        <w:widowControl/>
        <w:jc w:val="center"/>
        <w:rPr>
          <w:rFonts w:hint="eastAsia" w:ascii="宋体" w:hAnsi="宋体" w:eastAsia="宋体" w:cs="宋体"/>
          <w:kern w:val="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"C:\\Users\\asus\\Documents\\Tencent Files\\1227797704\\Image\\C2C\\5UA`7PONS0O~XDQE1XVIS9K.png"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pict>
          <v:shape id="_x0000_i1025" o:spt="75" type="#_x0000_t75" style="height:410.8pt;width:151.05pt;" filled="f" o:preferrelative="t" stroked="f" coordsize="21600,21600">
            <v:path/>
            <v:fill on="f" focussize="0,0"/>
            <v:stroke on="f" joinstyle="miter"/>
            <v:imagedata r:id="rId6" r:href="rId7" o:title=""/>
            <o:lock v:ext="edit" aspectratio="t"/>
            <w10:wrap type="none"/>
            <w10:anchorlock/>
          </v:shape>
        </w:pict>
      </w:r>
      <w:r>
        <w:rPr>
          <w:rFonts w:ascii="宋体" w:hAnsi="宋体" w:eastAsia="宋体" w:cs="宋体"/>
          <w:kern w:val="0"/>
          <w:sz w:val="24"/>
          <w:szCs w:val="24"/>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接下来用c语言程序代码进行编写，以for循环为主要语言分析解答问题。计算各学校学生的选考组合人数，其中矩阵i表示选考的情况，j表示各个学校。</w:t>
      </w:r>
    </w:p>
    <w:p>
      <w:pPr>
        <w:widowControl/>
        <w:jc w:val="left"/>
        <w:rPr>
          <w:rFonts w:hint="eastAsia" w:ascii="宋体" w:hAnsi="宋体" w:eastAsia="宋体" w:cs="宋体"/>
          <w:kern w:val="0"/>
          <w:sz w:val="24"/>
          <w:szCs w:val="24"/>
        </w:rPr>
      </w:pPr>
      <w:r>
        <w:rPr>
          <w:rFonts w:hint="eastAsia" w:ascii="宋体" w:hAnsi="宋体" w:eastAsia="宋体" w:cs="宋体"/>
          <w:sz w:val="24"/>
          <w:szCs w:val="24"/>
        </w:rPr>
        <w:t>#include &lt;stdio.h&gt;</w:t>
      </w:r>
      <w:r>
        <w:rPr>
          <w:rFonts w:hint="eastAsia" w:ascii="宋体" w:hAnsi="宋体" w:eastAsia="宋体" w:cs="宋体"/>
          <w:sz w:val="24"/>
          <w:szCs w:val="24"/>
        </w:rPr>
        <w:br w:type="textWrapping"/>
      </w:r>
      <w:r>
        <w:rPr>
          <w:rFonts w:hint="eastAsia" w:ascii="宋体" w:hAnsi="宋体" w:eastAsia="宋体" w:cs="宋体"/>
          <w:sz w:val="24"/>
          <w:szCs w:val="24"/>
        </w:rPr>
        <w:t>#include &lt;stdlib.h&gt;</w:t>
      </w:r>
      <w:r>
        <w:rPr>
          <w:rFonts w:hint="eastAsia" w:ascii="宋体" w:hAnsi="宋体" w:eastAsia="宋体" w:cs="宋体"/>
          <w:sz w:val="24"/>
          <w:szCs w:val="24"/>
        </w:rPr>
        <w:br w:type="textWrapping"/>
      </w:r>
      <w:r>
        <w:rPr>
          <w:rFonts w:hint="eastAsia" w:ascii="宋体" w:hAnsi="宋体" w:eastAsia="宋体" w:cs="宋体"/>
          <w:sz w:val="24"/>
          <w:szCs w:val="24"/>
        </w:rPr>
        <w:t>int main(){</w:t>
      </w:r>
      <w:r>
        <w:rPr>
          <w:rFonts w:hint="eastAsia" w:ascii="宋体" w:hAnsi="宋体" w:eastAsia="宋体" w:cs="宋体"/>
          <w:sz w:val="24"/>
          <w:szCs w:val="24"/>
        </w:rPr>
        <w:br w:type="textWrapping"/>
      </w:r>
      <w:r>
        <w:rPr>
          <w:rFonts w:hint="eastAsia" w:ascii="宋体" w:hAnsi="宋体" w:eastAsia="宋体" w:cs="宋体"/>
          <w:sz w:val="24"/>
          <w:szCs w:val="24"/>
        </w:rPr>
        <w:t>int i,j;</w:t>
      </w:r>
      <w:r>
        <w:rPr>
          <w:rFonts w:hint="eastAsia" w:ascii="宋体" w:hAnsi="宋体" w:eastAsia="宋体" w:cs="宋体"/>
          <w:sz w:val="24"/>
          <w:szCs w:val="24"/>
        </w:rPr>
        <w:br w:type="textWrapping"/>
      </w:r>
      <w:r>
        <w:rPr>
          <w:rFonts w:hint="eastAsia" w:ascii="宋体" w:hAnsi="宋体" w:eastAsia="宋体" w:cs="宋体"/>
          <w:sz w:val="24"/>
          <w:szCs w:val="24"/>
        </w:rPr>
        <w:t>int m=46000;</w:t>
      </w:r>
      <w:r>
        <w:rPr>
          <w:rFonts w:hint="eastAsia" w:ascii="宋体" w:hAnsi="宋体" w:eastAsia="宋体" w:cs="宋体"/>
          <w:sz w:val="24"/>
          <w:szCs w:val="24"/>
        </w:rPr>
        <w:br w:type="textWrapping"/>
      </w:r>
      <w:r>
        <w:rPr>
          <w:rFonts w:hint="eastAsia" w:ascii="宋体" w:hAnsi="宋体" w:eastAsia="宋体" w:cs="宋体"/>
          <w:sz w:val="24"/>
          <w:szCs w:val="24"/>
        </w:rPr>
        <w:t>double y[30]={0.1104,0.1044,0.0904,0.0845,0.0779,0.0614,0.0552,0.0509,0.0508,0.0469,0.0387,0.0351,0.0349,0.0299,0.0269,0.0268,0.0226,0.0182,0.0176,0.0165};</w:t>
      </w:r>
      <w:r>
        <w:rPr>
          <w:rFonts w:hint="eastAsia" w:ascii="宋体" w:hAnsi="宋体" w:eastAsia="宋体" w:cs="宋体"/>
          <w:sz w:val="24"/>
          <w:szCs w:val="24"/>
        </w:rPr>
        <w:br w:type="textWrapping"/>
      </w:r>
      <w:r>
        <w:rPr>
          <w:rFonts w:hint="eastAsia" w:ascii="宋体" w:hAnsi="宋体" w:eastAsia="宋体" w:cs="宋体"/>
          <w:sz w:val="24"/>
          <w:szCs w:val="24"/>
        </w:rPr>
        <w:t>for(j=0;j&lt;20;j++){</w:t>
      </w:r>
      <w:r>
        <w:rPr>
          <w:rFonts w:hint="eastAsia" w:ascii="宋体" w:hAnsi="宋体" w:eastAsia="宋体" w:cs="宋体"/>
          <w:sz w:val="24"/>
          <w:szCs w:val="24"/>
        </w:rPr>
        <w:br w:type="textWrapping"/>
      </w:r>
      <w:r>
        <w:rPr>
          <w:rFonts w:hint="eastAsia" w:ascii="宋体" w:hAnsi="宋体" w:eastAsia="宋体" w:cs="宋体"/>
          <w:sz w:val="24"/>
          <w:szCs w:val="24"/>
        </w:rPr>
        <w:t>printf("选考专业:   ");</w:t>
      </w:r>
      <w:r>
        <w:rPr>
          <w:rFonts w:hint="eastAsia" w:ascii="宋体" w:hAnsi="宋体" w:eastAsia="宋体" w:cs="宋体"/>
          <w:sz w:val="24"/>
          <w:szCs w:val="24"/>
        </w:rPr>
        <w:br w:type="textWrapping"/>
      </w:r>
      <w:r>
        <w:rPr>
          <w:rFonts w:hint="eastAsia" w:ascii="宋体" w:hAnsi="宋体" w:eastAsia="宋体" w:cs="宋体"/>
          <w:sz w:val="24"/>
          <w:szCs w:val="24"/>
        </w:rPr>
        <w:t>printf("%1.2f \t",m*y[j]);</w:t>
      </w:r>
      <w:r>
        <w:rPr>
          <w:rFonts w:hint="eastAsia" w:ascii="宋体" w:hAnsi="宋体" w:eastAsia="宋体" w:cs="宋体"/>
          <w:sz w:val="24"/>
          <w:szCs w:val="24"/>
        </w:rPr>
        <w:br w:type="textWrapping"/>
      </w:r>
      <w:r>
        <w:rPr>
          <w:rFonts w:hint="eastAsia" w:ascii="宋体" w:hAnsi="宋体" w:eastAsia="宋体" w:cs="宋体"/>
          <w:sz w:val="24"/>
          <w:szCs w:val="24"/>
        </w:rPr>
        <w:t>printf("\n");</w:t>
      </w:r>
      <w:r>
        <w:rPr>
          <w:rFonts w:hint="eastAsia" w:ascii="宋体" w:hAnsi="宋体" w:eastAsia="宋体" w:cs="宋体"/>
          <w:sz w:val="24"/>
          <w:szCs w:val="24"/>
        </w:rPr>
        <w:br w:type="textWrapping"/>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system("pause");</w:t>
      </w:r>
      <w:r>
        <w:rPr>
          <w:rFonts w:hint="eastAsia" w:ascii="宋体" w:hAnsi="宋体" w:eastAsia="宋体" w:cs="宋体"/>
          <w:sz w:val="24"/>
          <w:szCs w:val="24"/>
        </w:rPr>
        <w:br w:type="textWrapping"/>
      </w:r>
      <w:r>
        <w:rPr>
          <w:rFonts w:hint="eastAsia" w:ascii="宋体" w:hAnsi="宋体" w:eastAsia="宋体" w:cs="宋体"/>
          <w:sz w:val="24"/>
          <w:szCs w:val="24"/>
        </w:rPr>
        <w:t>return 0;</w:t>
      </w:r>
      <w:r>
        <w:rPr>
          <w:rFonts w:hint="eastAsia" w:ascii="宋体" w:hAnsi="宋体" w:eastAsia="宋体" w:cs="宋体"/>
          <w:sz w:val="24"/>
          <w:szCs w:val="24"/>
        </w:rPr>
        <w:br w:type="textWrapping"/>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在统计完数据后，分析数据结果，估算各选科概率。可设各个选考组合为Z1--Z20，M为2018年上海市高考总人数；化学为X1、物理为X2、生物为X3、政治为X4、历史为X5、生物为X6；分别用选考每科人数相加除以总人数M，得到每单科比例；根据科目选考优劣势，估计每单科选考比例，化学（0.16）、物理（0.14）、生物（0.2）、政治（0.12）、历史（0.18）、地理（0.2）。</w:t>
      </w:r>
    </w:p>
    <w:p>
      <w:pPr>
        <w:widowControl/>
        <w:ind w:firstLine="480" w:firstLineChars="200"/>
        <w:jc w:val="cente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drawing>
          <wp:inline distT="0" distB="0" distL="0" distR="0">
            <wp:extent cx="1914525" cy="2257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14525" cy="22574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然后将所得比例与估算的单科选科比例作比较，不存在显著性差异，故用2017年数据计算2018年选考情况是合理的。比较计算单科选考比例以及估算单科选考比例，证明两者不存在显著性差异。</w:t>
      </w:r>
    </w:p>
    <w:p>
      <w:pPr>
        <w:widowControl/>
        <w:jc w:val="left"/>
        <w:rPr>
          <w:rFonts w:hint="eastAsia" w:ascii="宋体" w:hAnsi="宋体" w:eastAsia="宋体" w:cs="宋体"/>
          <w:kern w:val="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"C:\\Users\\asus\\AppData\\Roaming\\Tencent\\Users\\1227797704\\QQ\\WinTemp\\RichOle\\YB@[(E80%(R{R[7I8PH){GW.png"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pict>
          <v:shape id="_x0000_i1026" o:spt="75" type="#_x0000_t75" style="height:284.8pt;width:426.2pt;" filled="f" o:preferrelative="t" stroked="f" coordsize="21600,21600">
            <v:path/>
            <v:fill on="f" focussize="0,0"/>
            <v:stroke on="f" joinstyle="miter"/>
            <v:imagedata r:id="rId9" r:href="rId10" o:title=""/>
            <o:lock v:ext="edit" aspectratio="t"/>
            <w10:wrap type="none"/>
            <w10:anchorlock/>
          </v:shape>
        </w:pict>
      </w:r>
      <w:r>
        <w:rPr>
          <w:rFonts w:ascii="宋体" w:hAnsi="宋体" w:eastAsia="宋体" w:cs="宋体"/>
          <w:kern w:val="0"/>
          <w:sz w:val="24"/>
          <w:szCs w:val="24"/>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通过2017年上海市考生选考组合情况计算得2017年各组合选考人数比例以及科目选考优劣势，利用2018年上海市考生总人数来计算各个选考组合人数，接着计算出上海市2018年各科目选考人数，根据比例及人数得出2018年各单科选考比例。做出相关计算，并验证估算结果符合，最后建立基本模型并得出最后的结果。</w:t>
      </w:r>
    </w:p>
    <w:p>
      <w:pPr>
        <w:widowControl/>
        <w:jc w:val="center"/>
        <w:rPr>
          <w:rFonts w:ascii="宋体" w:hAnsi="宋体" w:eastAsia="宋体"/>
          <w:color w:val="FF000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"C:\\Users\\asus\\Documents\\Tencent Files\\1227797704\\Image\\C2C\\H55ZN`)MP66FQDICAL06$[1.png"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pict>
          <v:shape id="_x0000_i1027" o:spt="75" type="#_x0000_t75" style="height:366.85pt;width:189.75pt;" filled="f" o:preferrelative="t" stroked="f" coordsize="21600,21600">
            <v:path/>
            <v:fill on="f" focussize="0,0"/>
            <v:stroke on="f"/>
            <v:imagedata r:id="rId11" r:href="rId12" o:title=""/>
            <o:lock v:ext="edit" aspectratio="t"/>
            <w10:wrap type="none"/>
            <w10:anchorlock/>
          </v:shape>
        </w:pict>
      </w:r>
      <w:r>
        <w:rPr>
          <w:rFonts w:ascii="宋体" w:hAnsi="宋体" w:eastAsia="宋体" w:cs="宋体"/>
          <w:kern w:val="0"/>
          <w:sz w:val="24"/>
          <w:szCs w:val="24"/>
        </w:rPr>
        <w:fldChar w:fldCharType="end"/>
      </w:r>
    </w:p>
    <w:p>
      <w:pPr>
        <w:keepNext w:val="0"/>
        <w:keepLines w:val="0"/>
        <w:pageBreakBefore w:val="0"/>
        <w:widowControl w:val="0"/>
        <w:kinsoku/>
        <w:wordWrap/>
        <w:overflowPunct/>
        <w:topLinePunct w:val="0"/>
        <w:autoSpaceDE/>
        <w:autoSpaceDN/>
        <w:bidi w:val="0"/>
        <w:adjustRightInd/>
        <w:snapToGrid/>
        <w:spacing w:before="100" w:after="100"/>
        <w:textAlignment w:val="auto"/>
        <w:rPr>
          <w:rFonts w:ascii="黑体" w:hAnsi="黑体" w:eastAsia="黑体"/>
          <w:b/>
          <w:bCs/>
          <w:sz w:val="24"/>
          <w:szCs w:val="24"/>
        </w:rPr>
      </w:pPr>
      <w:r>
        <w:rPr>
          <w:rFonts w:hint="eastAsia" w:ascii="黑体" w:hAnsi="黑体" w:eastAsia="黑体"/>
          <w:b/>
          <w:bCs/>
          <w:sz w:val="24"/>
          <w:szCs w:val="24"/>
          <w:lang w:val="en-US" w:eastAsia="zh-CN"/>
        </w:rPr>
        <w:t>2、</w:t>
      </w:r>
      <w:r>
        <w:rPr>
          <w:rFonts w:hint="eastAsia" w:ascii="黑体" w:hAnsi="黑体" w:eastAsia="黑体"/>
          <w:b/>
          <w:bCs/>
          <w:sz w:val="24"/>
          <w:szCs w:val="24"/>
        </w:rPr>
        <w:t>通过学校现有资源现状，计算师资各种资源的缺口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根据查找的教学资源状况，以及学校现有老师资源的现状，分析老师们是否出现了“赋闲”或过于忙碌的情况，为了让查找的各个学校具有代表性，决定做出一个概况型模型，进行分析假设，得出师资缺口。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由问题一得出的单科选科比例，来和各个学校的师资情况进行比较，从而得出各个学校在师资方面的缺口。设A学校中物理老师X1，化学老师为X2,生物老师X3，政治老师X4，历史老师X5，地理老师X6.再设A校教师总人数为</w:t>
      </w:r>
      <m:oMath>
        <m:r>
          <m:rPr>
            <m:sty m:val="p"/>
          </m:rPr>
          <w:rPr>
            <w:rFonts w:hint="eastAsia" w:ascii="Cambria Math" w:hAnsi="Cambria Math" w:eastAsia="宋体"/>
            <w:sz w:val="24"/>
            <w:szCs w:val="24"/>
            <w:lang w:val="en-US" w:eastAsia="zh-CN"/>
          </w:rPr>
          <m:t>N=</m:t>
        </m:r>
        <m:nary>
          <m:naryPr>
            <m:chr m:val="∑"/>
            <m:limLoc m:val="undOvr"/>
            <m:ctrlPr>
              <w:rPr>
                <w:rFonts w:hint="eastAsia" w:ascii="Cambria Math" w:hAnsi="Cambria Math" w:eastAsia="宋体"/>
                <w:sz w:val="24"/>
                <w:szCs w:val="24"/>
                <w:lang w:val="en-US" w:eastAsia="zh-CN"/>
              </w:rPr>
            </m:ctrlPr>
          </m:naryPr>
          <m:sub>
            <m:r>
              <m:rPr>
                <m:sty m:val="p"/>
              </m:rPr>
              <w:rPr>
                <w:rFonts w:hint="eastAsia" w:ascii="Cambria Math" w:hAnsi="Cambria Math" w:eastAsia="宋体"/>
                <w:sz w:val="24"/>
                <w:szCs w:val="24"/>
                <w:lang w:val="en-US" w:eastAsia="zh-CN"/>
              </w:rPr>
              <m:t>i=1</m:t>
            </m:r>
            <m:ctrlPr>
              <w:rPr>
                <w:rFonts w:hint="eastAsia" w:ascii="Cambria Math" w:hAnsi="Cambria Math" w:eastAsia="宋体"/>
                <w:sz w:val="24"/>
                <w:szCs w:val="24"/>
                <w:lang w:val="en-US" w:eastAsia="zh-CN"/>
              </w:rPr>
            </m:ctrlPr>
          </m:sub>
          <m:sup>
            <m:r>
              <m:rPr>
                <m:sty m:val="p"/>
              </m:rPr>
              <w:rPr>
                <w:rFonts w:hint="eastAsia" w:ascii="Cambria Math" w:hAnsi="Cambria Math" w:eastAsia="宋体"/>
                <w:sz w:val="24"/>
                <w:szCs w:val="24"/>
                <w:lang w:val="en-US" w:eastAsia="zh-CN"/>
              </w:rPr>
              <m:t>6</m:t>
            </m:r>
            <m:ctrlPr>
              <w:rPr>
                <w:rFonts w:hint="eastAsia" w:ascii="Cambria Math" w:hAnsi="Cambria Math" w:eastAsia="宋体"/>
                <w:sz w:val="24"/>
                <w:szCs w:val="24"/>
                <w:lang w:val="en-US" w:eastAsia="zh-CN"/>
              </w:rPr>
            </m:ctrlPr>
          </m:sup>
          <m:e>
            <m:r>
              <m:rPr>
                <m:sty m:val="p"/>
              </m:rPr>
              <w:rPr>
                <w:rFonts w:hint="eastAsia" w:ascii="Cambria Math" w:hAnsi="Cambria Math" w:eastAsia="宋体"/>
                <w:sz w:val="24"/>
                <w:szCs w:val="24"/>
                <w:lang w:val="en-US" w:eastAsia="zh-CN"/>
              </w:rPr>
              <m:t>Xi</m:t>
            </m:r>
            <m:ctrlPr>
              <w:rPr>
                <w:rFonts w:hint="eastAsia" w:ascii="Cambria Math" w:hAnsi="Cambria Math" w:eastAsia="宋体"/>
                <w:sz w:val="24"/>
                <w:szCs w:val="24"/>
                <w:lang w:val="en-US" w:eastAsia="zh-CN"/>
              </w:rPr>
            </m:ctrlPr>
          </m:e>
        </m:nary>
      </m:oMath>
      <w:r>
        <w:rPr>
          <w:rFonts w:hint="eastAsia" w:ascii="宋体" w:hAnsi="宋体" w:eastAsia="宋体"/>
          <w:sz w:val="24"/>
          <w:szCs w:val="24"/>
          <w:lang w:val="en-US" w:eastAsia="zh-CN"/>
        </w:rPr>
        <w:t>。则表示不同代课老师的所占老师总人数的比例：P1=X1/N、P2=X2/N、P3=X3/N、P4=X4/N、P5=X5/N、P6=X6/N，与第一问中的各单科的选课占比相比较。具体分析结果如图6-2：</w:t>
      </w:r>
    </w:p>
    <w:p>
      <w:pPr>
        <w:ind w:firstLine="480" w:firstLineChars="200"/>
        <w:rPr>
          <w:rFonts w:ascii="宋体" w:hAnsi="宋体" w:eastAsia="宋体"/>
          <w:sz w:val="24"/>
          <w:szCs w:val="24"/>
        </w:rPr>
      </w:pPr>
      <w:r>
        <w:rPr>
          <w:rFonts w:hint="eastAsia" w:ascii="宋体" w:hAnsi="宋体" w:eastAsia="宋体"/>
          <w:sz w:val="24"/>
          <w:szCs w:val="24"/>
        </w:rPr>
        <w:drawing>
          <wp:inline distT="0" distB="0" distL="0" distR="0">
            <wp:extent cx="4514850" cy="2257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14850" cy="2257425"/>
                    </a:xfrm>
                    <a:prstGeom prst="rect">
                      <a:avLst/>
                    </a:prstGeom>
                  </pic:spPr>
                </pic:pic>
              </a:graphicData>
            </a:graphic>
          </wp:inline>
        </w:drawing>
      </w:r>
    </w:p>
    <w:p>
      <w:pPr>
        <w:ind w:firstLine="360" w:firstLineChars="200"/>
        <w:jc w:val="center"/>
        <w:rPr>
          <w:rFonts w:hint="eastAsia" w:ascii="宋体" w:hAnsi="宋体" w:eastAsia="宋体"/>
          <w:sz w:val="18"/>
          <w:szCs w:val="18"/>
        </w:rPr>
      </w:pPr>
      <w:r>
        <w:rPr>
          <w:rFonts w:hint="eastAsia" w:ascii="宋体" w:hAnsi="宋体" w:eastAsia="宋体"/>
          <w:color w:val="7F7F7F" w:themeColor="background1" w:themeShade="80"/>
          <w:sz w:val="18"/>
          <w:szCs w:val="18"/>
        </w:rPr>
        <w:t>图6-2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通过以上计算，最后将对应科目的选课比例Hi与对应科目教师的比例Pi作差值比较，若差值的绝对值越大，则证明师资力量越低效化。若比较结果为负值，则证明师资力量在此科目有所缺口。若要计算</w:t>
      </w:r>
      <w:r>
        <w:rPr>
          <w:rFonts w:hint="eastAsia" w:ascii="宋体" w:hAnsi="宋体" w:eastAsia="宋体"/>
          <w:sz w:val="24"/>
          <w:szCs w:val="24"/>
          <w:highlight w:val="none"/>
          <w:lang w:val="en-US" w:eastAsia="zh-CN"/>
        </w:rPr>
        <w:t>教资</w:t>
      </w:r>
      <w:r>
        <w:rPr>
          <w:rFonts w:hint="eastAsia" w:ascii="宋体" w:hAnsi="宋体" w:eastAsia="宋体"/>
          <w:sz w:val="24"/>
          <w:szCs w:val="24"/>
          <w:lang w:val="en-US" w:eastAsia="zh-CN"/>
        </w:rPr>
        <w:t>理想化结果，用比例Pi乘以学校总人数N，即为这科老师原本应该有的人数。最后再使用excel表格将所需数据进行整理分析。</w:t>
      </w:r>
    </w:p>
    <w:p>
      <w:pPr>
        <w:keepNext w:val="0"/>
        <w:keepLines w:val="0"/>
        <w:pageBreakBefore w:val="0"/>
        <w:widowControl w:val="0"/>
        <w:kinsoku/>
        <w:wordWrap/>
        <w:overflowPunct/>
        <w:topLinePunct w:val="0"/>
        <w:autoSpaceDE/>
        <w:autoSpaceDN/>
        <w:bidi w:val="0"/>
        <w:adjustRightInd/>
        <w:snapToGrid/>
        <w:spacing w:before="100" w:after="100"/>
        <w:textAlignment w:val="auto"/>
        <w:rPr>
          <w:rFonts w:ascii="黑体" w:hAnsi="黑体" w:eastAsia="黑体"/>
          <w:b/>
          <w:bCs/>
          <w:sz w:val="24"/>
          <w:szCs w:val="24"/>
        </w:rPr>
      </w:pPr>
      <w:r>
        <w:rPr>
          <w:rFonts w:hint="eastAsia" w:ascii="黑体" w:hAnsi="黑体" w:eastAsia="黑体"/>
          <w:b/>
          <w:bCs/>
          <w:sz w:val="24"/>
          <w:szCs w:val="24"/>
          <w:lang w:val="en-US" w:eastAsia="zh-CN"/>
        </w:rPr>
        <w:t>3、</w:t>
      </w:r>
      <w:r>
        <w:rPr>
          <w:rFonts w:hint="eastAsia" w:ascii="黑体" w:hAnsi="黑体" w:eastAsia="黑体"/>
          <w:b/>
          <w:bCs/>
          <w:sz w:val="24"/>
          <w:szCs w:val="24"/>
        </w:rPr>
        <w:t>提出“菜单式”选科的建议，并分析各种方案的利弊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综合上述结果，结合各项数据，分析计算出各项所需条件和问题结果。给出三个可执行方案，并且给与出方案的利弊。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1）方案一：根据往年选课情况，可知选择生物、地理的人数较多，其次是化学、历史，最后是物理、政治。要使师资力量达到平衡，以“以多带少“为其中一个方案。考虑到学生选课情况，决定提出方案一的三个条件：A.选课人数较多的科目带学科人数少的科目；B.不可以同时选选课人数少的科目；C.选课人数较多科目至少选一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提出方案一可选“菜单式”科目组合：生物地理物理、生物地理政治、生物化学物、生物化学政治、生物历史物理、生物历史政治、地理化学物理、地理化学政治、地理历史政治、地理历史物理。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优点分析：利用选课科目人数多的带选课科目人数少的优势，可以让师资力量达到平衡，离开“赋闲”，更有利于教学计划的进行。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缺点分析：此选科方案无法彻底解决某些科目没有人选的问题，可能会造成学生能力的单一化，出现某些选科人数较少的问题。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（2）方案二：根据往年选科组合录取率情况，</w:t>
      </w:r>
      <w:r>
        <w:rPr>
          <w:rFonts w:hint="eastAsia" w:ascii="宋体" w:hAnsi="宋体" w:eastAsia="宋体"/>
          <w:sz w:val="24"/>
          <w:szCs w:val="24"/>
          <w:highlight w:val="none"/>
          <w:lang w:val="en-US" w:eastAsia="zh-CN"/>
        </w:rPr>
        <w:t>取</w:t>
      </w:r>
      <w:r>
        <w:rPr>
          <w:rFonts w:hint="eastAsia" w:ascii="宋体" w:hAnsi="宋体" w:eastAsia="宋体"/>
          <w:sz w:val="24"/>
          <w:szCs w:val="24"/>
          <w:lang w:val="en-US" w:eastAsia="zh-CN"/>
        </w:rPr>
        <w:t>录取率在98.5%以上的组合，进行排序，以此菜单式选课。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提出方案二可选“菜单式”科目组合：生物历史政治（0.9977）、 物理历史政治（0.9924）、地理历史政治（0.9917）、物理地理历史（0.9908）、 物理生物历史（0.9875）、化学生物历史（0.9866）、物理化学政治（0.9864）、物理化学生物（0.9862）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优点分析：利用学生选考组合的升学率较高的因素，可以更好的让同学们实现自己的目标，保证学校的升学率，促进学生与学校发展；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缺点分析：一味地追求录取率而没有考虑到学生的爱好，可能导致学生出现一些厌学的现象。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（3）方案三：根据科目日后的发展情况和社会对中学生的要求方面等因素来考虑，传统文化影响所涉及到的历史以及科目后期所需物理较多，保证历史和物理两科至少选一个。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提出方案三可选“菜单式”科目组合：物理化学地理、生物地理历史、物理生物地理、地理历史政治、物理化学生物、化学地理历史、化学生物历史、生物历史政治、物理地理政治、化学历史政治、物理生物政治、物理化学政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优点分析：以此来综合学生的能力，避免因为选科影响到学生未来的发展，并且增强同学们对传统文化的认识与了解，牢记使命，砥砺前行。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缺点分析：对于部分在发展中期或较落后的地区，学校师资力量难以满足教学目标。物理遂于大多数学生来说有些困难，难拿高分，在上海市属于不太受欢迎的科目，所以这种选课方案，可能会对升学率造成微弱的影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具体可执行的三个方案如图6-3：</w:t>
      </w:r>
    </w:p>
    <w:p>
      <w:r>
        <w:rPr>
          <w:rFonts w:hint="eastAsia"/>
        </w:rPr>
        <w:drawing>
          <wp:inline distT="0" distB="0" distL="0" distR="0">
            <wp:extent cx="5274310" cy="2445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445385"/>
                    </a:xfrm>
                    <a:prstGeom prst="rect">
                      <a:avLst/>
                    </a:prstGeom>
                  </pic:spPr>
                </pic:pic>
              </a:graphicData>
            </a:graphic>
          </wp:inline>
        </w:drawing>
      </w:r>
    </w:p>
    <w:p>
      <w:pPr>
        <w:ind w:firstLine="360" w:firstLineChars="200"/>
        <w:jc w:val="center"/>
      </w:pPr>
      <w:r>
        <w:rPr>
          <w:rFonts w:hint="eastAsia" w:ascii="宋体" w:hAnsi="宋体" w:eastAsia="宋体"/>
          <w:color w:val="7F7F7F" w:themeColor="background1" w:themeShade="80"/>
          <w:sz w:val="18"/>
          <w:szCs w:val="18"/>
        </w:rPr>
        <w:t>图6-3</w:t>
      </w:r>
    </w:p>
    <w:p>
      <w:pPr>
        <w:pStyle w:val="2"/>
        <w:keepNext/>
        <w:keepLines/>
        <w:pageBreakBefore w:val="0"/>
        <w:widowControl w:val="0"/>
        <w:kinsoku/>
        <w:wordWrap/>
        <w:overflowPunct/>
        <w:topLinePunct w:val="0"/>
        <w:autoSpaceDE/>
        <w:autoSpaceDN/>
        <w:bidi w:val="0"/>
        <w:adjustRightInd/>
        <w:snapToGrid/>
        <w:spacing w:before="160" w:after="160" w:line="579" w:lineRule="auto"/>
        <w:jc w:val="center"/>
        <w:textAlignment w:val="auto"/>
        <w:rPr>
          <w:rFonts w:hint="eastAsia" w:ascii="黑体" w:hAnsi="黑体" w:eastAsia="黑体"/>
          <w:sz w:val="28"/>
          <w:szCs w:val="28"/>
        </w:rPr>
      </w:pPr>
      <w:r>
        <w:rPr>
          <w:rFonts w:hint="eastAsia" w:ascii="黑体" w:hAnsi="黑体" w:eastAsia="黑体"/>
          <w:sz w:val="28"/>
          <w:szCs w:val="28"/>
        </w:rPr>
        <w:t>七、模型检验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若要使2018选考不同组合大概的人数比例与2017年选考人数的数据有关，就必须保证各单科所占比例的估算值与各单科所占比例的计算值无显著性差异。设a为单科选科比例估算值，b为单科选科比例计算值，有以下检验：</w:t>
      </w:r>
    </w:p>
    <w:tbl>
      <w:tblPr>
        <w:tblStyle w:val="11"/>
        <w:tblW w:w="6283" w:type="dxa"/>
        <w:tblInd w:w="10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14"/>
        <w:gridCol w:w="845"/>
        <w:gridCol w:w="1029"/>
        <w:gridCol w:w="1029"/>
        <w:gridCol w:w="1091"/>
        <w:gridCol w:w="14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6283" w:type="dxa"/>
            <w:gridSpan w:val="6"/>
            <w:tcBorders>
              <w:top w:val="nil"/>
              <w:left w:val="nil"/>
              <w:bottom w:val="nil"/>
              <w:right w:val="nil"/>
              <w:tl2br w:val="nil"/>
              <w:tr2bl w:val="nil"/>
            </w:tcBorders>
            <w:shd w:val="clear" w:color="auto" w:fill="FFFFFF"/>
            <w:vAlign w:val="center"/>
          </w:tcPr>
          <w:p>
            <w:pPr>
              <w:spacing w:line="320" w:lineRule="atLeast"/>
              <w:ind w:left="60" w:right="60"/>
              <w:jc w:val="center"/>
              <w:rPr>
                <w:color w:val="010205"/>
                <w:sz w:val="22"/>
              </w:rPr>
            </w:pPr>
            <w:r>
              <w:rPr>
                <w:b/>
                <w:color w:val="010205"/>
                <w:sz w:val="22"/>
              </w:rPr>
              <w:t>配对样本统计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59" w:type="dxa"/>
            <w:gridSpan w:val="2"/>
            <w:tcBorders>
              <w:top w:val="nil"/>
              <w:left w:val="nil"/>
              <w:bottom w:val="single" w:color="152935" w:sz="8" w:space="0"/>
              <w:right w:val="nil"/>
              <w:tl2br w:val="nil"/>
              <w:tr2bl w:val="nil"/>
            </w:tcBorders>
            <w:shd w:val="clear" w:color="auto" w:fill="FFFFFF"/>
            <w:vAlign w:val="bottom"/>
          </w:tcPr>
          <w:p>
            <w:pPr>
              <w:jc w:val="center"/>
              <w:rPr>
                <w:sz w:val="24"/>
              </w:rPr>
            </w:pPr>
          </w:p>
        </w:tc>
        <w:tc>
          <w:tcPr>
            <w:tcW w:w="1029" w:type="dxa"/>
            <w:tcBorders>
              <w:top w:val="nil"/>
              <w:left w:val="nil"/>
              <w:bottom w:val="single" w:color="152935" w:sz="8" w:space="0"/>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平均值</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个案数</w:t>
            </w:r>
          </w:p>
        </w:tc>
        <w:tc>
          <w:tcPr>
            <w:tcW w:w="1091"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标准差</w:t>
            </w:r>
          </w:p>
        </w:tc>
        <w:tc>
          <w:tcPr>
            <w:tcW w:w="1475" w:type="dxa"/>
            <w:tcBorders>
              <w:top w:val="nil"/>
              <w:left w:val="single" w:color="E0E0E0" w:sz="8" w:space="0"/>
              <w:bottom w:val="single" w:color="152935" w:sz="8" w:space="0"/>
              <w:right w:val="nil"/>
              <w:tl2br w:val="nil"/>
              <w:tr2bl w:val="nil"/>
            </w:tcBorders>
            <w:shd w:val="clear" w:color="auto" w:fill="FFFFFF"/>
            <w:vAlign w:val="bottom"/>
          </w:tcPr>
          <w:p>
            <w:pPr>
              <w:spacing w:line="320" w:lineRule="atLeast"/>
              <w:ind w:left="60" w:right="60"/>
              <w:jc w:val="center"/>
              <w:rPr>
                <w:color w:val="264A60"/>
                <w:sz w:val="18"/>
              </w:rPr>
            </w:pPr>
            <w:r>
              <w:rPr>
                <w:color w:val="264A60"/>
                <w:sz w:val="18"/>
              </w:rPr>
              <w:t>标准误差平均值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14" w:type="dxa"/>
            <w:vMerge w:val="restart"/>
            <w:tcBorders>
              <w:top w:val="single" w:color="152935" w:sz="8" w:space="0"/>
              <w:left w:val="nil"/>
              <w:bottom w:val="single" w:color="152935" w:sz="8" w:space="0"/>
              <w:right w:val="nil"/>
              <w:tl2br w:val="nil"/>
              <w:tr2bl w:val="nil"/>
            </w:tcBorders>
            <w:shd w:val="clear" w:color="auto" w:fill="E0E0E0"/>
          </w:tcPr>
          <w:p>
            <w:pPr>
              <w:spacing w:line="320" w:lineRule="atLeast"/>
              <w:ind w:left="60" w:right="60"/>
              <w:jc w:val="center"/>
              <w:rPr>
                <w:color w:val="264A60"/>
                <w:sz w:val="18"/>
              </w:rPr>
            </w:pPr>
            <w:r>
              <w:rPr>
                <w:color w:val="264A60"/>
                <w:sz w:val="18"/>
              </w:rPr>
              <w:t>配对 1</w:t>
            </w:r>
          </w:p>
        </w:tc>
        <w:tc>
          <w:tcPr>
            <w:tcW w:w="845" w:type="dxa"/>
            <w:tcBorders>
              <w:top w:val="single" w:color="152935" w:sz="8" w:space="0"/>
              <w:left w:val="nil"/>
              <w:bottom w:val="single" w:color="AEAEAE" w:sz="8" w:space="0"/>
              <w:right w:val="nil"/>
              <w:tl2br w:val="nil"/>
              <w:tr2bl w:val="nil"/>
            </w:tcBorders>
            <w:shd w:val="clear" w:color="auto" w:fill="E0E0E0"/>
          </w:tcPr>
          <w:p>
            <w:pPr>
              <w:spacing w:line="320" w:lineRule="atLeast"/>
              <w:ind w:left="60" w:right="60"/>
              <w:jc w:val="center"/>
              <w:rPr>
                <w:color w:val="264A60"/>
                <w:sz w:val="18"/>
              </w:rPr>
            </w:pPr>
            <w:r>
              <w:rPr>
                <w:color w:val="264A60"/>
                <w:sz w:val="18"/>
              </w:rPr>
              <w:t>估算值</w:t>
            </w:r>
          </w:p>
        </w:tc>
        <w:tc>
          <w:tcPr>
            <w:tcW w:w="1029" w:type="dxa"/>
            <w:tcBorders>
              <w:top w:val="single" w:color="152935" w:sz="8" w:space="0"/>
              <w:left w:val="nil"/>
              <w:bottom w:val="single" w:color="AEAEAE"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.166667</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6</w:t>
            </w:r>
          </w:p>
        </w:tc>
        <w:tc>
          <w:tcPr>
            <w:tcW w:w="1091"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.0326599</w:t>
            </w:r>
          </w:p>
        </w:tc>
        <w:tc>
          <w:tcPr>
            <w:tcW w:w="1475" w:type="dxa"/>
            <w:tcBorders>
              <w:top w:val="single" w:color="152935" w:sz="8" w:space="0"/>
              <w:left w:val="single" w:color="E0E0E0" w:sz="8" w:space="0"/>
              <w:bottom w:val="single" w:color="AEAEAE" w:sz="8" w:space="0"/>
              <w:right w:val="nil"/>
              <w:tl2br w:val="nil"/>
              <w:tr2bl w:val="nil"/>
            </w:tcBorders>
            <w:shd w:val="clear" w:color="auto" w:fill="FFFFFF"/>
          </w:tcPr>
          <w:p>
            <w:pPr>
              <w:spacing w:line="320" w:lineRule="atLeast"/>
              <w:ind w:left="60" w:right="60"/>
              <w:jc w:val="center"/>
              <w:rPr>
                <w:color w:val="010205"/>
                <w:sz w:val="18"/>
              </w:rPr>
            </w:pPr>
            <w:r>
              <w:rPr>
                <w:color w:val="010205"/>
                <w:sz w:val="18"/>
              </w:rPr>
              <w:t>.0133333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14" w:type="dxa"/>
            <w:vMerge w:val="continue"/>
            <w:tcBorders>
              <w:top w:val="single" w:color="152935" w:sz="8" w:space="0"/>
              <w:left w:val="nil"/>
              <w:bottom w:val="single" w:color="152935" w:sz="8" w:space="0"/>
              <w:right w:val="nil"/>
              <w:tl2br w:val="nil"/>
              <w:tr2bl w:val="nil"/>
            </w:tcBorders>
            <w:shd w:val="clear" w:color="auto" w:fill="E0E0E0"/>
          </w:tcPr>
          <w:p>
            <w:pPr>
              <w:jc w:val="center"/>
              <w:rPr>
                <w:color w:val="010205"/>
                <w:sz w:val="18"/>
              </w:rPr>
            </w:pPr>
          </w:p>
        </w:tc>
        <w:tc>
          <w:tcPr>
            <w:tcW w:w="845" w:type="dxa"/>
            <w:tcBorders>
              <w:top w:val="single" w:color="AEAEAE" w:sz="8" w:space="0"/>
              <w:left w:val="nil"/>
              <w:bottom w:val="single" w:color="152935" w:sz="8" w:space="0"/>
              <w:right w:val="nil"/>
              <w:tl2br w:val="nil"/>
              <w:tr2bl w:val="nil"/>
            </w:tcBorders>
            <w:shd w:val="clear" w:color="auto" w:fill="E0E0E0"/>
          </w:tcPr>
          <w:p>
            <w:pPr>
              <w:spacing w:line="320" w:lineRule="atLeast"/>
              <w:ind w:left="60" w:right="60"/>
              <w:jc w:val="center"/>
              <w:rPr>
                <w:color w:val="264A60"/>
                <w:sz w:val="18"/>
              </w:rPr>
            </w:pPr>
            <w:r>
              <w:rPr>
                <w:color w:val="264A60"/>
                <w:sz w:val="18"/>
              </w:rPr>
              <w:t>计算值</w:t>
            </w:r>
          </w:p>
        </w:tc>
        <w:tc>
          <w:tcPr>
            <w:tcW w:w="1029" w:type="dxa"/>
            <w:tcBorders>
              <w:top w:val="single" w:color="AEAEAE" w:sz="8" w:space="0"/>
              <w:left w:val="nil"/>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.161283</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6</w:t>
            </w:r>
          </w:p>
        </w:tc>
        <w:tc>
          <w:tcPr>
            <w:tcW w:w="1091" w:type="dxa"/>
            <w:tcBorders>
              <w:top w:val="single" w:color="AEAEAE" w:sz="8" w:space="0"/>
              <w:left w:val="single" w:color="E0E0E0" w:sz="8" w:space="0"/>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.0322482</w:t>
            </w:r>
          </w:p>
        </w:tc>
        <w:tc>
          <w:tcPr>
            <w:tcW w:w="1475" w:type="dxa"/>
            <w:tcBorders>
              <w:top w:val="single" w:color="AEAEAE" w:sz="8" w:space="0"/>
              <w:left w:val="single" w:color="E0E0E0" w:sz="8" w:space="0"/>
              <w:bottom w:val="single" w:color="152935" w:sz="8" w:space="0"/>
              <w:right w:val="nil"/>
              <w:tl2br w:val="nil"/>
              <w:tr2bl w:val="nil"/>
            </w:tcBorders>
            <w:shd w:val="clear" w:color="auto" w:fill="FFFFFF"/>
          </w:tcPr>
          <w:p>
            <w:pPr>
              <w:spacing w:line="320" w:lineRule="atLeast"/>
              <w:ind w:left="60" w:right="60"/>
              <w:jc w:val="center"/>
              <w:rPr>
                <w:color w:val="010205"/>
                <w:sz w:val="18"/>
              </w:rPr>
            </w:pPr>
            <w:r>
              <w:rPr>
                <w:color w:val="010205"/>
                <w:sz w:val="18"/>
              </w:rPr>
              <w:t>.0131653</w:t>
            </w:r>
          </w:p>
        </w:tc>
      </w:tr>
    </w:tbl>
    <w:p>
      <w:pPr>
        <w:jc w:val="center"/>
      </w:pPr>
    </w:p>
    <w:tbl>
      <w:tblPr>
        <w:tblStyle w:val="11"/>
        <w:tblW w:w="4638" w:type="dxa"/>
        <w:tblInd w:w="183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14"/>
        <w:gridCol w:w="737"/>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trPr>
        <w:tc>
          <w:tcPr>
            <w:tcW w:w="4638" w:type="dxa"/>
            <w:gridSpan w:val="5"/>
            <w:tcBorders>
              <w:top w:val="nil"/>
              <w:left w:val="nil"/>
              <w:bottom w:val="nil"/>
              <w:right w:val="nil"/>
              <w:tl2br w:val="nil"/>
              <w:tr2bl w:val="nil"/>
            </w:tcBorders>
            <w:shd w:val="clear" w:color="auto" w:fill="FFFFFF"/>
            <w:vAlign w:val="center"/>
          </w:tcPr>
          <w:p>
            <w:pPr>
              <w:spacing w:line="320" w:lineRule="atLeast"/>
              <w:ind w:left="60" w:right="60"/>
              <w:jc w:val="center"/>
              <w:rPr>
                <w:color w:val="010205"/>
                <w:sz w:val="22"/>
              </w:rPr>
            </w:pPr>
            <w:r>
              <w:rPr>
                <w:b/>
                <w:color w:val="010205"/>
                <w:sz w:val="22"/>
              </w:rPr>
              <w:t>配对样本相关性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551" w:type="dxa"/>
            <w:gridSpan w:val="2"/>
            <w:tcBorders>
              <w:top w:val="nil"/>
              <w:left w:val="nil"/>
              <w:bottom w:val="single" w:color="152935" w:sz="8" w:space="0"/>
              <w:right w:val="nil"/>
              <w:tl2br w:val="nil"/>
              <w:tr2bl w:val="nil"/>
            </w:tcBorders>
            <w:shd w:val="clear" w:color="auto" w:fill="FFFFFF"/>
            <w:vAlign w:val="bottom"/>
          </w:tcPr>
          <w:p>
            <w:pPr>
              <w:jc w:val="center"/>
              <w:rPr>
                <w:sz w:val="24"/>
              </w:rPr>
            </w:pPr>
          </w:p>
        </w:tc>
        <w:tc>
          <w:tcPr>
            <w:tcW w:w="1029" w:type="dxa"/>
            <w:tcBorders>
              <w:top w:val="nil"/>
              <w:left w:val="nil"/>
              <w:bottom w:val="single" w:color="152935" w:sz="8" w:space="0"/>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个案数</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相关性</w:t>
            </w:r>
          </w:p>
        </w:tc>
        <w:tc>
          <w:tcPr>
            <w:tcW w:w="1029" w:type="dxa"/>
            <w:tcBorders>
              <w:top w:val="nil"/>
              <w:left w:val="single" w:color="E0E0E0" w:sz="8" w:space="0"/>
              <w:bottom w:val="single" w:color="152935" w:sz="8" w:space="0"/>
              <w:right w:val="nil"/>
              <w:tl2br w:val="nil"/>
              <w:tr2bl w:val="nil"/>
            </w:tcBorders>
            <w:shd w:val="clear" w:color="auto" w:fill="FFFFFF"/>
            <w:vAlign w:val="bottom"/>
          </w:tcPr>
          <w:p>
            <w:pPr>
              <w:spacing w:line="320" w:lineRule="atLeast"/>
              <w:ind w:left="60" w:right="60"/>
              <w:jc w:val="center"/>
              <w:rPr>
                <w:color w:val="264A60"/>
                <w:sz w:val="18"/>
              </w:rPr>
            </w:pPr>
            <w:r>
              <w:rPr>
                <w:color w:val="264A60"/>
                <w:sz w:val="18"/>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14" w:type="dxa"/>
            <w:tcBorders>
              <w:top w:val="single" w:color="152935" w:sz="8" w:space="0"/>
              <w:left w:val="nil"/>
              <w:bottom w:val="single" w:color="152935" w:sz="8" w:space="0"/>
              <w:right w:val="nil"/>
              <w:tl2br w:val="nil"/>
              <w:tr2bl w:val="nil"/>
            </w:tcBorders>
            <w:shd w:val="clear" w:color="auto" w:fill="E0E0E0"/>
          </w:tcPr>
          <w:p>
            <w:pPr>
              <w:spacing w:line="320" w:lineRule="atLeast"/>
              <w:ind w:left="60" w:right="60"/>
              <w:jc w:val="center"/>
              <w:rPr>
                <w:color w:val="264A60"/>
                <w:sz w:val="18"/>
              </w:rPr>
            </w:pPr>
            <w:r>
              <w:rPr>
                <w:color w:val="264A60"/>
                <w:sz w:val="18"/>
              </w:rPr>
              <w:t>配对 1</w:t>
            </w:r>
          </w:p>
        </w:tc>
        <w:tc>
          <w:tcPr>
            <w:tcW w:w="737" w:type="dxa"/>
            <w:tcBorders>
              <w:top w:val="single" w:color="152935" w:sz="8" w:space="0"/>
              <w:left w:val="nil"/>
              <w:bottom w:val="single" w:color="152935" w:sz="8" w:space="0"/>
              <w:right w:val="nil"/>
              <w:tl2br w:val="nil"/>
              <w:tr2bl w:val="nil"/>
            </w:tcBorders>
            <w:shd w:val="clear" w:color="auto" w:fill="E0E0E0"/>
          </w:tcPr>
          <w:p>
            <w:pPr>
              <w:spacing w:line="320" w:lineRule="atLeast"/>
              <w:ind w:left="60" w:right="60"/>
              <w:jc w:val="center"/>
              <w:rPr>
                <w:color w:val="264A60"/>
                <w:sz w:val="18"/>
              </w:rPr>
            </w:pPr>
            <w:r>
              <w:rPr>
                <w:color w:val="264A60"/>
                <w:sz w:val="18"/>
              </w:rPr>
              <w:t>a &amp; b</w:t>
            </w:r>
          </w:p>
        </w:tc>
        <w:tc>
          <w:tcPr>
            <w:tcW w:w="1029" w:type="dxa"/>
            <w:tcBorders>
              <w:top w:val="single" w:color="152935" w:sz="8" w:space="0"/>
              <w:left w:val="nil"/>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6</w:t>
            </w:r>
          </w:p>
        </w:tc>
        <w:tc>
          <w:tcPr>
            <w:tcW w:w="1029" w:type="dxa"/>
            <w:tcBorders>
              <w:top w:val="single" w:color="152935" w:sz="8" w:space="0"/>
              <w:left w:val="single" w:color="E0E0E0" w:sz="8" w:space="0"/>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.792</w:t>
            </w:r>
          </w:p>
        </w:tc>
        <w:tc>
          <w:tcPr>
            <w:tcW w:w="1029" w:type="dxa"/>
            <w:tcBorders>
              <w:top w:val="single" w:color="152935" w:sz="8" w:space="0"/>
              <w:left w:val="single" w:color="E0E0E0" w:sz="8" w:space="0"/>
              <w:bottom w:val="single" w:color="152935" w:sz="8" w:space="0"/>
              <w:right w:val="nil"/>
              <w:tl2br w:val="nil"/>
              <w:tr2bl w:val="nil"/>
            </w:tcBorders>
            <w:shd w:val="clear" w:color="auto" w:fill="FFFFFF"/>
          </w:tcPr>
          <w:p>
            <w:pPr>
              <w:spacing w:line="320" w:lineRule="atLeast"/>
              <w:ind w:left="60" w:right="60"/>
              <w:jc w:val="center"/>
              <w:rPr>
                <w:color w:val="010205"/>
                <w:sz w:val="18"/>
              </w:rPr>
            </w:pPr>
            <w:r>
              <w:rPr>
                <w:color w:val="010205"/>
                <w:sz w:val="18"/>
              </w:rPr>
              <w:t>.060</w:t>
            </w:r>
          </w:p>
        </w:tc>
      </w:tr>
    </w:tbl>
    <w:p>
      <w:pPr>
        <w:jc w:val="center"/>
      </w:pPr>
    </w:p>
    <w:tbl>
      <w:tblPr>
        <w:tblStyle w:val="11"/>
        <w:tblW w:w="83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615"/>
        <w:gridCol w:w="558"/>
        <w:gridCol w:w="825"/>
        <w:gridCol w:w="825"/>
        <w:gridCol w:w="1115"/>
        <w:gridCol w:w="871"/>
        <w:gridCol w:w="825"/>
        <w:gridCol w:w="778"/>
        <w:gridCol w:w="779"/>
        <w:gridCol w:w="1115"/>
      </w:tblGrid>
      <w:tr>
        <w:tblPrEx>
          <w:tblLayout w:type="fixed"/>
          <w:tblCellMar>
            <w:top w:w="0" w:type="dxa"/>
            <w:left w:w="0" w:type="dxa"/>
            <w:bottom w:w="0" w:type="dxa"/>
            <w:right w:w="0" w:type="dxa"/>
          </w:tblCellMar>
        </w:tblPrEx>
        <w:trPr>
          <w:cantSplit/>
        </w:trPr>
        <w:tc>
          <w:tcPr>
            <w:tcW w:w="8306" w:type="dxa"/>
            <w:gridSpan w:val="10"/>
            <w:tcBorders>
              <w:top w:val="nil"/>
              <w:left w:val="nil"/>
              <w:bottom w:val="nil"/>
              <w:right w:val="nil"/>
              <w:tl2br w:val="nil"/>
              <w:tr2bl w:val="nil"/>
            </w:tcBorders>
            <w:shd w:val="clear" w:color="auto" w:fill="FFFFFF"/>
            <w:vAlign w:val="center"/>
          </w:tcPr>
          <w:p>
            <w:pPr>
              <w:spacing w:line="320" w:lineRule="atLeast"/>
              <w:ind w:left="60" w:right="60"/>
              <w:jc w:val="center"/>
              <w:rPr>
                <w:color w:val="010205"/>
                <w:sz w:val="22"/>
              </w:rPr>
            </w:pPr>
            <w:r>
              <w:rPr>
                <w:b/>
                <w:color w:val="010205"/>
                <w:sz w:val="22"/>
              </w:rPr>
              <w:t>配对样本检验</w:t>
            </w:r>
          </w:p>
        </w:tc>
      </w:tr>
      <w:tr>
        <w:tblPrEx>
          <w:tblLayout w:type="fixed"/>
          <w:tblCellMar>
            <w:top w:w="0" w:type="dxa"/>
            <w:left w:w="0" w:type="dxa"/>
            <w:bottom w:w="0" w:type="dxa"/>
            <w:right w:w="0" w:type="dxa"/>
          </w:tblCellMar>
        </w:tblPrEx>
        <w:trPr>
          <w:cantSplit/>
        </w:trPr>
        <w:tc>
          <w:tcPr>
            <w:tcW w:w="1173" w:type="dxa"/>
            <w:gridSpan w:val="2"/>
            <w:vMerge w:val="restart"/>
            <w:tcBorders>
              <w:top w:val="nil"/>
              <w:left w:val="nil"/>
              <w:bottom w:val="nil"/>
              <w:right w:val="nil"/>
              <w:tl2br w:val="nil"/>
              <w:tr2bl w:val="nil"/>
            </w:tcBorders>
            <w:shd w:val="clear" w:color="auto" w:fill="FFFFFF"/>
            <w:vAlign w:val="bottom"/>
          </w:tcPr>
          <w:p>
            <w:pPr>
              <w:jc w:val="center"/>
              <w:rPr>
                <w:sz w:val="24"/>
              </w:rPr>
            </w:pPr>
          </w:p>
        </w:tc>
        <w:tc>
          <w:tcPr>
            <w:tcW w:w="4461" w:type="dxa"/>
            <w:gridSpan w:val="5"/>
            <w:tcBorders>
              <w:top w:val="nil"/>
              <w:left w:val="nil"/>
              <w:bottom w:val="nil"/>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配对差值</w:t>
            </w:r>
          </w:p>
        </w:tc>
        <w:tc>
          <w:tcPr>
            <w:tcW w:w="778" w:type="dxa"/>
            <w:vMerge w:val="restart"/>
            <w:tcBorders>
              <w:top w:val="nil"/>
              <w:left w:val="single" w:color="E0E0E0" w:sz="8" w:space="0"/>
              <w:bottom w:val="nil"/>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t</w:t>
            </w:r>
          </w:p>
        </w:tc>
        <w:tc>
          <w:tcPr>
            <w:tcW w:w="779" w:type="dxa"/>
            <w:vMerge w:val="restart"/>
            <w:tcBorders>
              <w:top w:val="nil"/>
              <w:left w:val="single" w:color="E0E0E0" w:sz="8" w:space="0"/>
              <w:bottom w:val="nil"/>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自由度</w:t>
            </w:r>
          </w:p>
        </w:tc>
        <w:tc>
          <w:tcPr>
            <w:tcW w:w="1115" w:type="dxa"/>
            <w:vMerge w:val="restart"/>
            <w:tcBorders>
              <w:top w:val="nil"/>
              <w:left w:val="single" w:color="E0E0E0" w:sz="8" w:space="0"/>
              <w:bottom w:val="nil"/>
              <w:right w:val="nil"/>
              <w:tl2br w:val="nil"/>
              <w:tr2bl w:val="nil"/>
            </w:tcBorders>
            <w:shd w:val="clear" w:color="auto" w:fill="FFFFFF"/>
            <w:vAlign w:val="bottom"/>
          </w:tcPr>
          <w:p>
            <w:pPr>
              <w:spacing w:line="320" w:lineRule="atLeast"/>
              <w:ind w:left="60" w:right="60"/>
              <w:jc w:val="center"/>
              <w:rPr>
                <w:color w:val="264A60"/>
                <w:sz w:val="18"/>
              </w:rPr>
            </w:pPr>
            <w:r>
              <w:rPr>
                <w:color w:val="264A60"/>
                <w:sz w:val="18"/>
              </w:rPr>
              <w:t>显著性（双尾）</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173" w:type="dxa"/>
            <w:gridSpan w:val="2"/>
            <w:vMerge w:val="continue"/>
            <w:tcBorders>
              <w:top w:val="nil"/>
              <w:left w:val="nil"/>
              <w:bottom w:val="nil"/>
              <w:right w:val="nil"/>
              <w:tl2br w:val="nil"/>
              <w:tr2bl w:val="nil"/>
            </w:tcBorders>
            <w:shd w:val="clear" w:color="auto" w:fill="FFFFFF"/>
            <w:vAlign w:val="bottom"/>
          </w:tcPr>
          <w:p>
            <w:pPr>
              <w:jc w:val="center"/>
              <w:rPr>
                <w:color w:val="264A60"/>
                <w:sz w:val="18"/>
              </w:rPr>
            </w:pPr>
          </w:p>
        </w:tc>
        <w:tc>
          <w:tcPr>
            <w:tcW w:w="825" w:type="dxa"/>
            <w:vMerge w:val="restart"/>
            <w:tcBorders>
              <w:top w:val="nil"/>
              <w:left w:val="nil"/>
              <w:bottom w:val="nil"/>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平均值</w:t>
            </w:r>
          </w:p>
        </w:tc>
        <w:tc>
          <w:tcPr>
            <w:tcW w:w="825" w:type="dxa"/>
            <w:vMerge w:val="restart"/>
            <w:tcBorders>
              <w:top w:val="nil"/>
              <w:left w:val="single" w:color="E0E0E0" w:sz="8" w:space="0"/>
              <w:bottom w:val="nil"/>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标准差</w:t>
            </w:r>
          </w:p>
        </w:tc>
        <w:tc>
          <w:tcPr>
            <w:tcW w:w="1115" w:type="dxa"/>
            <w:vMerge w:val="restart"/>
            <w:tcBorders>
              <w:top w:val="nil"/>
              <w:left w:val="single" w:color="E0E0E0" w:sz="8" w:space="0"/>
              <w:bottom w:val="nil"/>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标准误差平均值</w:t>
            </w:r>
          </w:p>
        </w:tc>
        <w:tc>
          <w:tcPr>
            <w:tcW w:w="1696" w:type="dxa"/>
            <w:gridSpan w:val="2"/>
            <w:tcBorders>
              <w:top w:val="nil"/>
              <w:left w:val="single" w:color="E0E0E0" w:sz="8" w:space="0"/>
              <w:bottom w:val="nil"/>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差值 95% 置信区间</w:t>
            </w:r>
          </w:p>
        </w:tc>
        <w:tc>
          <w:tcPr>
            <w:tcW w:w="778" w:type="dxa"/>
            <w:vMerge w:val="continue"/>
            <w:tcBorders>
              <w:top w:val="nil"/>
              <w:left w:val="single" w:color="E0E0E0" w:sz="8" w:space="0"/>
              <w:bottom w:val="nil"/>
              <w:right w:val="single" w:color="E0E0E0" w:sz="8" w:space="0"/>
              <w:tl2br w:val="nil"/>
              <w:tr2bl w:val="nil"/>
            </w:tcBorders>
            <w:shd w:val="clear" w:color="auto" w:fill="FFFFFF"/>
            <w:vAlign w:val="bottom"/>
          </w:tcPr>
          <w:p>
            <w:pPr>
              <w:jc w:val="center"/>
              <w:rPr>
                <w:color w:val="264A60"/>
                <w:sz w:val="18"/>
              </w:rPr>
            </w:pPr>
          </w:p>
        </w:tc>
        <w:tc>
          <w:tcPr>
            <w:tcW w:w="779" w:type="dxa"/>
            <w:vMerge w:val="continue"/>
            <w:tcBorders>
              <w:top w:val="nil"/>
              <w:left w:val="single" w:color="E0E0E0" w:sz="8" w:space="0"/>
              <w:bottom w:val="nil"/>
              <w:right w:val="single" w:color="E0E0E0" w:sz="8" w:space="0"/>
              <w:tl2br w:val="nil"/>
              <w:tr2bl w:val="nil"/>
            </w:tcBorders>
            <w:shd w:val="clear" w:color="auto" w:fill="FFFFFF"/>
            <w:vAlign w:val="bottom"/>
          </w:tcPr>
          <w:p>
            <w:pPr>
              <w:jc w:val="center"/>
              <w:rPr>
                <w:color w:val="264A60"/>
                <w:sz w:val="18"/>
              </w:rPr>
            </w:pPr>
          </w:p>
        </w:tc>
        <w:tc>
          <w:tcPr>
            <w:tcW w:w="1115" w:type="dxa"/>
            <w:vMerge w:val="continue"/>
            <w:tcBorders>
              <w:top w:val="nil"/>
              <w:left w:val="single" w:color="E0E0E0" w:sz="8" w:space="0"/>
              <w:bottom w:val="nil"/>
              <w:right w:val="nil"/>
              <w:tl2br w:val="nil"/>
              <w:tr2bl w:val="nil"/>
            </w:tcBorders>
            <w:shd w:val="clear" w:color="auto" w:fill="FFFFFF"/>
            <w:vAlign w:val="bottom"/>
          </w:tcPr>
          <w:p>
            <w:pPr>
              <w:jc w:val="center"/>
              <w:rPr>
                <w:color w:val="264A60"/>
                <w:sz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173" w:type="dxa"/>
            <w:gridSpan w:val="2"/>
            <w:vMerge w:val="continue"/>
            <w:tcBorders>
              <w:top w:val="nil"/>
              <w:left w:val="nil"/>
              <w:bottom w:val="nil"/>
              <w:right w:val="nil"/>
              <w:tl2br w:val="nil"/>
              <w:tr2bl w:val="nil"/>
            </w:tcBorders>
            <w:shd w:val="clear" w:color="auto" w:fill="FFFFFF"/>
            <w:vAlign w:val="bottom"/>
          </w:tcPr>
          <w:p>
            <w:pPr>
              <w:jc w:val="center"/>
              <w:rPr>
                <w:color w:val="264A60"/>
                <w:sz w:val="18"/>
              </w:rPr>
            </w:pPr>
          </w:p>
        </w:tc>
        <w:tc>
          <w:tcPr>
            <w:tcW w:w="825" w:type="dxa"/>
            <w:vMerge w:val="continue"/>
            <w:tcBorders>
              <w:top w:val="nil"/>
              <w:left w:val="nil"/>
              <w:bottom w:val="nil"/>
              <w:right w:val="single" w:color="E0E0E0" w:sz="8" w:space="0"/>
              <w:tl2br w:val="nil"/>
              <w:tr2bl w:val="nil"/>
            </w:tcBorders>
            <w:shd w:val="clear" w:color="auto" w:fill="FFFFFF"/>
            <w:vAlign w:val="bottom"/>
          </w:tcPr>
          <w:p>
            <w:pPr>
              <w:jc w:val="center"/>
              <w:rPr>
                <w:color w:val="264A60"/>
                <w:sz w:val="18"/>
              </w:rPr>
            </w:pPr>
          </w:p>
        </w:tc>
        <w:tc>
          <w:tcPr>
            <w:tcW w:w="825" w:type="dxa"/>
            <w:vMerge w:val="continue"/>
            <w:tcBorders>
              <w:top w:val="nil"/>
              <w:left w:val="single" w:color="E0E0E0" w:sz="8" w:space="0"/>
              <w:bottom w:val="nil"/>
              <w:right w:val="single" w:color="E0E0E0" w:sz="8" w:space="0"/>
              <w:tl2br w:val="nil"/>
              <w:tr2bl w:val="nil"/>
            </w:tcBorders>
            <w:shd w:val="clear" w:color="auto" w:fill="FFFFFF"/>
            <w:vAlign w:val="bottom"/>
          </w:tcPr>
          <w:p>
            <w:pPr>
              <w:jc w:val="center"/>
              <w:rPr>
                <w:color w:val="264A60"/>
                <w:sz w:val="18"/>
              </w:rPr>
            </w:pPr>
          </w:p>
        </w:tc>
        <w:tc>
          <w:tcPr>
            <w:tcW w:w="1115" w:type="dxa"/>
            <w:vMerge w:val="continue"/>
            <w:tcBorders>
              <w:top w:val="nil"/>
              <w:left w:val="single" w:color="E0E0E0" w:sz="8" w:space="0"/>
              <w:bottom w:val="nil"/>
              <w:right w:val="single" w:color="E0E0E0" w:sz="8" w:space="0"/>
              <w:tl2br w:val="nil"/>
              <w:tr2bl w:val="nil"/>
            </w:tcBorders>
            <w:shd w:val="clear" w:color="auto" w:fill="FFFFFF"/>
            <w:vAlign w:val="bottom"/>
          </w:tcPr>
          <w:p>
            <w:pPr>
              <w:jc w:val="center"/>
              <w:rPr>
                <w:color w:val="264A60"/>
                <w:sz w:val="18"/>
              </w:rPr>
            </w:pPr>
          </w:p>
        </w:tc>
        <w:tc>
          <w:tcPr>
            <w:tcW w:w="871"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下限</w:t>
            </w:r>
          </w:p>
        </w:tc>
        <w:tc>
          <w:tcPr>
            <w:tcW w:w="825"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320" w:lineRule="atLeast"/>
              <w:ind w:left="60" w:right="60"/>
              <w:jc w:val="center"/>
              <w:rPr>
                <w:color w:val="264A60"/>
                <w:sz w:val="18"/>
              </w:rPr>
            </w:pPr>
            <w:r>
              <w:rPr>
                <w:color w:val="264A60"/>
                <w:sz w:val="18"/>
              </w:rPr>
              <w:t>上限</w:t>
            </w:r>
          </w:p>
        </w:tc>
        <w:tc>
          <w:tcPr>
            <w:tcW w:w="778" w:type="dxa"/>
            <w:vMerge w:val="continue"/>
            <w:tcBorders>
              <w:top w:val="nil"/>
              <w:left w:val="single" w:color="E0E0E0" w:sz="8" w:space="0"/>
              <w:bottom w:val="nil"/>
              <w:right w:val="single" w:color="E0E0E0" w:sz="8" w:space="0"/>
              <w:tl2br w:val="nil"/>
              <w:tr2bl w:val="nil"/>
            </w:tcBorders>
            <w:shd w:val="clear" w:color="auto" w:fill="FFFFFF"/>
            <w:vAlign w:val="bottom"/>
          </w:tcPr>
          <w:p>
            <w:pPr>
              <w:jc w:val="center"/>
              <w:rPr>
                <w:color w:val="264A60"/>
                <w:sz w:val="18"/>
              </w:rPr>
            </w:pPr>
          </w:p>
        </w:tc>
        <w:tc>
          <w:tcPr>
            <w:tcW w:w="779" w:type="dxa"/>
            <w:vMerge w:val="continue"/>
            <w:tcBorders>
              <w:top w:val="nil"/>
              <w:left w:val="single" w:color="E0E0E0" w:sz="8" w:space="0"/>
              <w:bottom w:val="nil"/>
              <w:right w:val="single" w:color="E0E0E0" w:sz="8" w:space="0"/>
              <w:tl2br w:val="nil"/>
              <w:tr2bl w:val="nil"/>
            </w:tcBorders>
            <w:shd w:val="clear" w:color="auto" w:fill="FFFFFF"/>
            <w:vAlign w:val="bottom"/>
          </w:tcPr>
          <w:p>
            <w:pPr>
              <w:jc w:val="center"/>
              <w:rPr>
                <w:color w:val="264A60"/>
                <w:sz w:val="18"/>
              </w:rPr>
            </w:pPr>
          </w:p>
        </w:tc>
        <w:tc>
          <w:tcPr>
            <w:tcW w:w="1115" w:type="dxa"/>
            <w:vMerge w:val="continue"/>
            <w:tcBorders>
              <w:top w:val="nil"/>
              <w:left w:val="single" w:color="E0E0E0" w:sz="8" w:space="0"/>
              <w:bottom w:val="nil"/>
              <w:right w:val="nil"/>
              <w:tl2br w:val="nil"/>
              <w:tr2bl w:val="nil"/>
            </w:tcBorders>
            <w:shd w:val="clear" w:color="auto" w:fill="FFFFFF"/>
            <w:vAlign w:val="bottom"/>
          </w:tcPr>
          <w:p>
            <w:pPr>
              <w:jc w:val="center"/>
              <w:rPr>
                <w:color w:val="264A60"/>
                <w:sz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615" w:type="dxa"/>
            <w:tcBorders>
              <w:top w:val="single" w:color="152935" w:sz="8" w:space="0"/>
              <w:left w:val="nil"/>
              <w:bottom w:val="single" w:color="152935" w:sz="8" w:space="0"/>
              <w:right w:val="nil"/>
              <w:tl2br w:val="nil"/>
              <w:tr2bl w:val="nil"/>
            </w:tcBorders>
            <w:shd w:val="clear" w:color="auto" w:fill="E0E0E0"/>
          </w:tcPr>
          <w:p>
            <w:pPr>
              <w:spacing w:line="320" w:lineRule="atLeast"/>
              <w:ind w:left="60" w:right="60"/>
              <w:jc w:val="center"/>
              <w:rPr>
                <w:color w:val="264A60"/>
                <w:sz w:val="18"/>
              </w:rPr>
            </w:pPr>
            <w:r>
              <w:rPr>
                <w:color w:val="264A60"/>
                <w:sz w:val="18"/>
              </w:rPr>
              <w:t>配对 1</w:t>
            </w:r>
          </w:p>
        </w:tc>
        <w:tc>
          <w:tcPr>
            <w:tcW w:w="558" w:type="dxa"/>
            <w:tcBorders>
              <w:top w:val="single" w:color="152935" w:sz="8" w:space="0"/>
              <w:left w:val="nil"/>
              <w:bottom w:val="single" w:color="152935" w:sz="8" w:space="0"/>
              <w:right w:val="nil"/>
              <w:tl2br w:val="nil"/>
              <w:tr2bl w:val="nil"/>
            </w:tcBorders>
            <w:shd w:val="clear" w:color="auto" w:fill="E0E0E0"/>
          </w:tcPr>
          <w:p>
            <w:pPr>
              <w:spacing w:line="320" w:lineRule="atLeast"/>
              <w:ind w:left="60" w:right="60"/>
              <w:jc w:val="center"/>
              <w:rPr>
                <w:color w:val="264A60"/>
                <w:sz w:val="18"/>
              </w:rPr>
            </w:pPr>
            <w:r>
              <w:rPr>
                <w:color w:val="264A60"/>
                <w:sz w:val="18"/>
              </w:rPr>
              <w:t>a - b</w:t>
            </w:r>
          </w:p>
        </w:tc>
        <w:tc>
          <w:tcPr>
            <w:tcW w:w="825" w:type="dxa"/>
            <w:tcBorders>
              <w:top w:val="single" w:color="152935" w:sz="8" w:space="0"/>
              <w:left w:val="nil"/>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.0053833</w:t>
            </w:r>
          </w:p>
        </w:tc>
        <w:tc>
          <w:tcPr>
            <w:tcW w:w="825" w:type="dxa"/>
            <w:tcBorders>
              <w:top w:val="single" w:color="152935" w:sz="8" w:space="0"/>
              <w:left w:val="single" w:color="E0E0E0" w:sz="8" w:space="0"/>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.0209176</w:t>
            </w:r>
          </w:p>
        </w:tc>
        <w:tc>
          <w:tcPr>
            <w:tcW w:w="1115" w:type="dxa"/>
            <w:tcBorders>
              <w:top w:val="single" w:color="152935" w:sz="8" w:space="0"/>
              <w:left w:val="single" w:color="E0E0E0" w:sz="8" w:space="0"/>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.0085396</w:t>
            </w:r>
          </w:p>
        </w:tc>
        <w:tc>
          <w:tcPr>
            <w:tcW w:w="871" w:type="dxa"/>
            <w:tcBorders>
              <w:top w:val="single" w:color="152935" w:sz="8" w:space="0"/>
              <w:left w:val="single" w:color="E0E0E0" w:sz="8" w:space="0"/>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-.0165683</w:t>
            </w:r>
          </w:p>
        </w:tc>
        <w:tc>
          <w:tcPr>
            <w:tcW w:w="825" w:type="dxa"/>
            <w:tcBorders>
              <w:top w:val="single" w:color="152935" w:sz="8" w:space="0"/>
              <w:left w:val="single" w:color="E0E0E0" w:sz="8" w:space="0"/>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.0273350</w:t>
            </w:r>
          </w:p>
        </w:tc>
        <w:tc>
          <w:tcPr>
            <w:tcW w:w="778" w:type="dxa"/>
            <w:tcBorders>
              <w:top w:val="single" w:color="152935" w:sz="8" w:space="0"/>
              <w:left w:val="single" w:color="E0E0E0" w:sz="8" w:space="0"/>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.630</w:t>
            </w:r>
          </w:p>
        </w:tc>
        <w:tc>
          <w:tcPr>
            <w:tcW w:w="779" w:type="dxa"/>
            <w:tcBorders>
              <w:top w:val="single" w:color="152935" w:sz="8" w:space="0"/>
              <w:left w:val="single" w:color="E0E0E0" w:sz="8" w:space="0"/>
              <w:bottom w:val="single" w:color="152935" w:sz="8" w:space="0"/>
              <w:right w:val="single" w:color="E0E0E0" w:sz="8" w:space="0"/>
              <w:tl2br w:val="nil"/>
              <w:tr2bl w:val="nil"/>
            </w:tcBorders>
            <w:shd w:val="clear" w:color="auto" w:fill="FFFFFF"/>
          </w:tcPr>
          <w:p>
            <w:pPr>
              <w:spacing w:line="320" w:lineRule="atLeast"/>
              <w:ind w:left="60" w:right="60"/>
              <w:jc w:val="center"/>
              <w:rPr>
                <w:color w:val="010205"/>
                <w:sz w:val="18"/>
              </w:rPr>
            </w:pPr>
            <w:r>
              <w:rPr>
                <w:color w:val="010205"/>
                <w:sz w:val="18"/>
              </w:rPr>
              <w:t>5</w:t>
            </w:r>
          </w:p>
        </w:tc>
        <w:tc>
          <w:tcPr>
            <w:tcW w:w="1115" w:type="dxa"/>
            <w:tcBorders>
              <w:top w:val="single" w:color="152935" w:sz="8" w:space="0"/>
              <w:left w:val="single" w:color="E0E0E0" w:sz="8" w:space="0"/>
              <w:bottom w:val="single" w:color="152935" w:sz="8" w:space="0"/>
              <w:right w:val="nil"/>
              <w:tl2br w:val="nil"/>
              <w:tr2bl w:val="nil"/>
            </w:tcBorders>
            <w:shd w:val="clear" w:color="auto" w:fill="FFFFFF"/>
          </w:tcPr>
          <w:p>
            <w:pPr>
              <w:spacing w:line="320" w:lineRule="atLeast"/>
              <w:ind w:left="60" w:right="60"/>
              <w:jc w:val="center"/>
              <w:rPr>
                <w:color w:val="010205"/>
                <w:sz w:val="18"/>
              </w:rPr>
            </w:pPr>
            <w:r>
              <w:rPr>
                <w:color w:val="010205"/>
                <w:sz w:val="18"/>
              </w:rPr>
              <w:t>.556</w:t>
            </w:r>
          </w:p>
        </w:tc>
      </w:tr>
    </w:tbl>
    <w:p>
      <w:pPr>
        <w:ind w:firstLine="360" w:firstLineChars="200"/>
        <w:jc w:val="center"/>
        <w:rPr>
          <w:rFonts w:hint="eastAsia" w:ascii="宋体" w:hAnsi="宋体" w:eastAsia="宋体"/>
          <w:color w:val="7F7F7F" w:themeColor="background1" w:themeShade="80"/>
          <w:sz w:val="18"/>
          <w:szCs w:val="18"/>
        </w:rPr>
      </w:pPr>
      <w:r>
        <w:rPr>
          <w:rFonts w:hint="eastAsia" w:ascii="宋体" w:hAnsi="宋体" w:eastAsia="宋体"/>
          <w:color w:val="7F7F7F" w:themeColor="background1" w:themeShade="80"/>
          <w:sz w:val="18"/>
          <w:szCs w:val="18"/>
        </w:rPr>
        <w:t>a:估算值  b:计算值</w:t>
      </w:r>
    </w:p>
    <w:p>
      <w:pPr>
        <w:pStyle w:val="2"/>
        <w:keepNext/>
        <w:keepLines/>
        <w:pageBreakBefore w:val="0"/>
        <w:widowControl w:val="0"/>
        <w:kinsoku/>
        <w:wordWrap/>
        <w:overflowPunct/>
        <w:topLinePunct w:val="0"/>
        <w:autoSpaceDE/>
        <w:autoSpaceDN/>
        <w:bidi w:val="0"/>
        <w:adjustRightInd/>
        <w:snapToGrid/>
        <w:spacing w:before="160" w:after="160" w:line="579" w:lineRule="auto"/>
        <w:jc w:val="center"/>
        <w:textAlignment w:val="auto"/>
        <w:rPr>
          <w:rFonts w:hint="eastAsia" w:ascii="黑体" w:hAnsi="黑体" w:eastAsia="黑体"/>
          <w:sz w:val="28"/>
          <w:szCs w:val="28"/>
        </w:rPr>
      </w:pPr>
      <w:r>
        <w:rPr>
          <w:rFonts w:hint="eastAsia" w:ascii="黑体" w:hAnsi="黑体" w:eastAsia="黑体"/>
          <w:sz w:val="28"/>
          <w:szCs w:val="28"/>
        </w:rPr>
        <w:t>八、模型评价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在模型的建立和求解过程中，综合利用多种计算机工具，使用 Excel 汇总展示数据，使用 SPSS 整理分析数据，使用 Matlab快速实现算法，做到优化配置方案。在计算结果展示、人工经验介入、计算过程衔接方面取得了较好效果。在进行充分的理论分析的基础上，正是综合采用以上手段，才得了2018年高考不同选科组合人数以及选科菜单式的分配方案。 对于原题目中这样复杂的综合问题，本文给出的模型和求解过程稍作简化，问题分析得不够全面，从而导致求解的选科比例和资源分配与真实的选科比例和选科菜单式的分配方案之间存在浮动，求解结果不能真实地解决问题。自动化和智能化程度不够，需要较多的人工干预，需要进行更高的抽象概括、使用更智能化的算法进行改进。 </w:t>
      </w:r>
    </w:p>
    <w:p>
      <w:pPr>
        <w:pStyle w:val="2"/>
        <w:keepNext/>
        <w:keepLines/>
        <w:pageBreakBefore w:val="0"/>
        <w:widowControl w:val="0"/>
        <w:kinsoku/>
        <w:wordWrap/>
        <w:overflowPunct/>
        <w:topLinePunct w:val="0"/>
        <w:autoSpaceDE/>
        <w:autoSpaceDN/>
        <w:bidi w:val="0"/>
        <w:adjustRightInd/>
        <w:snapToGrid/>
        <w:spacing w:before="160" w:after="160" w:line="579" w:lineRule="auto"/>
        <w:jc w:val="center"/>
        <w:textAlignment w:val="auto"/>
        <w:rPr>
          <w:rFonts w:hint="eastAsia" w:ascii="黑体" w:hAnsi="黑体" w:eastAsia="黑体"/>
          <w:sz w:val="28"/>
          <w:szCs w:val="28"/>
        </w:rPr>
      </w:pPr>
      <w:r>
        <w:rPr>
          <w:rFonts w:hint="eastAsia" w:ascii="黑体" w:hAnsi="黑体" w:eastAsia="黑体"/>
          <w:sz w:val="28"/>
          <w:szCs w:val="28"/>
        </w:rPr>
        <w:t>九、模型推广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本文模型适用领域多为对数据属性不同、要求形式多样、限制条件多维情况下的不同组合的选科方案的统筹分析，可以运用于员工配合工作、公司分派任务、餐厅销售食物组合等实际问题，在提升资源利用率、节约生产成本、提高经济效益方面有着积极作用 。</w:t>
      </w:r>
    </w:p>
    <w:p>
      <w:pPr>
        <w:pStyle w:val="2"/>
        <w:keepNext/>
        <w:keepLines/>
        <w:pageBreakBefore w:val="0"/>
        <w:widowControl w:val="0"/>
        <w:kinsoku/>
        <w:wordWrap/>
        <w:overflowPunct/>
        <w:topLinePunct w:val="0"/>
        <w:autoSpaceDE/>
        <w:autoSpaceDN/>
        <w:bidi w:val="0"/>
        <w:adjustRightInd/>
        <w:snapToGrid/>
        <w:spacing w:before="160" w:after="160" w:line="579" w:lineRule="auto"/>
        <w:jc w:val="center"/>
        <w:textAlignment w:val="auto"/>
        <w:rPr>
          <w:rFonts w:hint="eastAsia" w:ascii="黑体" w:hAnsi="黑体" w:eastAsia="黑体"/>
          <w:sz w:val="28"/>
          <w:szCs w:val="28"/>
        </w:rPr>
      </w:pPr>
      <w:r>
        <w:rPr>
          <w:rFonts w:hint="eastAsia" w:ascii="黑体" w:hAnsi="黑体" w:eastAsia="黑体"/>
          <w:sz w:val="28"/>
          <w:szCs w:val="28"/>
        </w:rPr>
        <w:t>十、参考文献</w:t>
      </w:r>
    </w:p>
    <w:p>
      <w:pPr>
        <w:jc w:val="left"/>
        <w:rPr>
          <w:rFonts w:hint="eastAsia" w:ascii="宋体" w:hAnsi="宋体" w:eastAsia="宋体" w:cs="宋体"/>
          <w:sz w:val="24"/>
          <w:szCs w:val="24"/>
        </w:rPr>
      </w:pPr>
      <w:r>
        <w:rPr>
          <w:rFonts w:hint="eastAsia" w:ascii="宋体" w:hAnsi="宋体" w:eastAsia="宋体" w:cs="宋体"/>
          <w:sz w:val="24"/>
          <w:szCs w:val="24"/>
        </w:rPr>
        <w:t xml:space="preserve">[1]百度百科.国务院关于深化考试招生制度改革的实施意见. https://baike.baidu.com/item/国务院关于深化考试招生制度改革的实施意见. 2019.05.11. </w:t>
      </w:r>
    </w:p>
    <w:p>
      <w:pPr>
        <w:jc w:val="left"/>
        <w:rPr>
          <w:rFonts w:hint="eastAsia" w:ascii="宋体" w:hAnsi="宋体" w:eastAsia="宋体" w:cs="宋体"/>
          <w:sz w:val="24"/>
          <w:szCs w:val="24"/>
        </w:rPr>
      </w:pPr>
      <w:r>
        <w:rPr>
          <w:rFonts w:hint="eastAsia" w:ascii="宋体" w:hAnsi="宋体" w:eastAsia="宋体" w:cs="宋体"/>
          <w:sz w:val="24"/>
          <w:szCs w:val="24"/>
        </w:rPr>
        <w:t>[2]百度.上海市浦东区教育局教育业务.http://www.pudong.gov.cn/.2019.05.10</w:t>
      </w:r>
    </w:p>
    <w:p>
      <w:pPr>
        <w:jc w:val="left"/>
        <w:rPr>
          <w:rFonts w:hint="eastAsia" w:ascii="宋体" w:hAnsi="宋体" w:eastAsia="宋体" w:cs="宋体"/>
          <w:sz w:val="24"/>
          <w:szCs w:val="24"/>
        </w:rPr>
      </w:pPr>
      <w:r>
        <w:rPr>
          <w:rFonts w:hint="eastAsia" w:ascii="宋体" w:hAnsi="宋体" w:eastAsia="宋体" w:cs="宋体"/>
          <w:sz w:val="24"/>
          <w:szCs w:val="24"/>
        </w:rPr>
        <w:t>[3]上海市虹口区教育局.http://www.shhk.gov.cn/hkjy/zfxx/001010/.2019.05.11</w:t>
      </w:r>
      <w:r>
        <w:rPr>
          <w:rFonts w:hint="eastAsia" w:ascii="宋体" w:hAnsi="宋体" w:eastAsia="宋体" w:cs="宋体"/>
          <w:sz w:val="24"/>
          <w:szCs w:val="24"/>
        </w:rPr>
        <w:br w:type="textWrapping"/>
      </w:r>
      <w:r>
        <w:rPr>
          <w:rFonts w:hint="eastAsia" w:ascii="宋体" w:hAnsi="宋体" w:eastAsia="宋体" w:cs="宋体"/>
          <w:sz w:val="24"/>
          <w:szCs w:val="24"/>
        </w:rPr>
        <w:t>[4] “新高考”模拟选科调查.物理被选考概率仅次于化学.https://baijiahao.baidu.com/.2019.05.11</w:t>
      </w:r>
      <w:r>
        <w:rPr>
          <w:rFonts w:hint="eastAsia" w:ascii="宋体" w:hAnsi="宋体" w:eastAsia="宋体" w:cs="宋体"/>
          <w:sz w:val="24"/>
          <w:szCs w:val="24"/>
        </w:rPr>
        <w:br w:type="textWrapping"/>
      </w:r>
      <w:r>
        <w:rPr>
          <w:rFonts w:hint="eastAsia" w:ascii="宋体" w:hAnsi="宋体" w:eastAsia="宋体" w:cs="宋体"/>
          <w:sz w:val="24"/>
          <w:szCs w:val="24"/>
        </w:rPr>
        <w:t>[5]2018上海各个高中毕业人数.https://www.baidu.com.019.05.04</w:t>
      </w:r>
      <w:r>
        <w:rPr>
          <w:rFonts w:hint="eastAsia" w:ascii="宋体" w:hAnsi="宋体" w:eastAsia="宋体" w:cs="宋体"/>
          <w:sz w:val="24"/>
          <w:szCs w:val="24"/>
        </w:rPr>
        <w:br w:type="textWrapping"/>
      </w:r>
      <w:r>
        <w:rPr>
          <w:rFonts w:hint="eastAsia" w:ascii="宋体" w:hAnsi="宋体" w:eastAsia="宋体" w:cs="宋体"/>
          <w:sz w:val="24"/>
          <w:szCs w:val="24"/>
        </w:rPr>
        <w:t>[6]新高考改革.海考生选考数据.ttps://www.baidu.com/.019.05.04</w:t>
      </w:r>
      <w:r>
        <w:rPr>
          <w:rFonts w:hint="eastAsia" w:ascii="宋体" w:hAnsi="宋体" w:eastAsia="宋体" w:cs="宋体"/>
          <w:sz w:val="24"/>
          <w:szCs w:val="24"/>
        </w:rPr>
        <w:br w:type="textWrapping"/>
      </w:r>
      <w:r>
        <w:rPr>
          <w:rFonts w:hint="eastAsia" w:ascii="宋体" w:hAnsi="宋体" w:eastAsia="宋体" w:cs="宋体"/>
          <w:sz w:val="24"/>
          <w:szCs w:val="24"/>
        </w:rPr>
        <w:t>[7]百度.闵行信息公开-闵行区教育局</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"http://xxgk.shmh.gov.cn/mhxxgkweb/html/mh_xxgk/xxgk_jyj/List/2019.5.10" </w:instrText>
      </w:r>
      <w:r>
        <w:rPr>
          <w:rFonts w:hint="eastAsia" w:ascii="宋体" w:hAnsi="宋体" w:eastAsia="宋体" w:cs="宋体"/>
          <w:color w:val="auto"/>
          <w:sz w:val="24"/>
          <w:szCs w:val="24"/>
        </w:rPr>
        <w:fldChar w:fldCharType="separate"/>
      </w:r>
      <w:r>
        <w:rPr>
          <w:rStyle w:val="14"/>
          <w:rFonts w:hint="eastAsia" w:ascii="宋体" w:hAnsi="宋体" w:eastAsia="宋体" w:cs="宋体"/>
          <w:color w:val="auto"/>
          <w:sz w:val="24"/>
          <w:szCs w:val="24"/>
        </w:rPr>
        <w:t>http://xxgk.shmh.gov.cn/mhxxgkweb/html/mh_xxgk/xxgk_jyj/List/2019.5.10</w:t>
      </w:r>
      <w:r>
        <w:rPr>
          <w:rStyle w:val="14"/>
          <w:rFonts w:hint="eastAsia" w:ascii="宋体" w:hAnsi="宋体" w:eastAsia="宋体" w:cs="宋体"/>
          <w:color w:val="auto"/>
          <w:sz w:val="24"/>
          <w:szCs w:val="24"/>
        </w:rPr>
        <w:fldChar w:fldCharType="end"/>
      </w:r>
    </w:p>
    <w:p>
      <w:pPr>
        <w:jc w:val="left"/>
        <w:rPr>
          <w:rFonts w:hint="eastAsia" w:ascii="宋体" w:hAnsi="宋体" w:eastAsia="宋体" w:cs="宋体"/>
          <w:sz w:val="24"/>
          <w:szCs w:val="24"/>
        </w:rPr>
      </w:pPr>
      <w:r>
        <w:rPr>
          <w:rFonts w:hint="eastAsia" w:ascii="宋体" w:hAnsi="宋体" w:eastAsia="宋体" w:cs="宋体"/>
          <w:sz w:val="24"/>
          <w:szCs w:val="24"/>
        </w:rPr>
        <w:t>[8]上海</w:t>
      </w:r>
      <w:r>
        <w:rPr>
          <w:rFonts w:hint="eastAsia" w:ascii="宋体" w:hAnsi="宋体" w:eastAsia="宋体" w:cs="宋体"/>
          <w:sz w:val="24"/>
          <w:szCs w:val="24"/>
          <w:highlight w:val="none"/>
        </w:rPr>
        <w:t>市市</w:t>
      </w:r>
      <w:r>
        <w:rPr>
          <w:rFonts w:hint="eastAsia" w:ascii="宋体" w:hAnsi="宋体" w:eastAsia="宋体" w:cs="宋体"/>
          <w:sz w:val="24"/>
          <w:szCs w:val="24"/>
        </w:rPr>
        <w:t>重点中学排名.https://wenku.baidu.com/view/fd135569312b3169a451a4fe.html</w:t>
      </w:r>
    </w:p>
    <w:p>
      <w:pPr>
        <w:jc w:val="left"/>
        <w:rPr>
          <w:rFonts w:hint="eastAsia" w:ascii="宋体" w:hAnsi="宋体" w:eastAsia="宋体" w:cs="宋体"/>
          <w:sz w:val="24"/>
          <w:szCs w:val="24"/>
        </w:rPr>
      </w:pPr>
      <w:r>
        <w:rPr>
          <w:rFonts w:hint="eastAsia" w:ascii="宋体" w:hAnsi="宋体" w:eastAsia="宋体" w:cs="宋体"/>
          <w:sz w:val="24"/>
          <w:szCs w:val="24"/>
        </w:rPr>
        <w:t>2019.5.4</w:t>
      </w:r>
    </w:p>
    <w:p>
      <w:pPr>
        <w:jc w:val="left"/>
      </w:pPr>
      <w:r>
        <w:rPr>
          <w:rFonts w:hint="eastAsia" w:ascii="宋体" w:hAnsi="宋体" w:eastAsia="宋体" w:cs="宋体"/>
          <w:sz w:val="24"/>
          <w:szCs w:val="24"/>
        </w:rPr>
        <w:t>[9]上海统计.http://www.stats-sh.gov.cn/.2019.5.4</w:t>
      </w:r>
    </w:p>
    <w:p>
      <w:pPr>
        <w:pStyle w:val="2"/>
        <w:keepNext/>
        <w:keepLines/>
        <w:pageBreakBefore w:val="0"/>
        <w:widowControl w:val="0"/>
        <w:kinsoku/>
        <w:wordWrap/>
        <w:overflowPunct/>
        <w:topLinePunct w:val="0"/>
        <w:autoSpaceDE/>
        <w:autoSpaceDN/>
        <w:bidi w:val="0"/>
        <w:adjustRightInd/>
        <w:snapToGrid/>
        <w:spacing w:before="160" w:after="160" w:line="579" w:lineRule="auto"/>
        <w:jc w:val="center"/>
        <w:textAlignment w:val="auto"/>
        <w:rPr>
          <w:rFonts w:hint="eastAsia" w:ascii="黑体" w:hAnsi="黑体" w:eastAsia="黑体"/>
          <w:sz w:val="28"/>
          <w:szCs w:val="28"/>
        </w:rPr>
      </w:pPr>
      <w:r>
        <w:rPr>
          <w:rFonts w:hint="eastAsia" w:ascii="黑体" w:hAnsi="黑体" w:eastAsia="黑体"/>
          <w:sz w:val="28"/>
          <w:szCs w:val="28"/>
        </w:rPr>
        <w:t xml:space="preserve">十一、附录 </w:t>
      </w:r>
    </w:p>
    <w:p>
      <w:pPr>
        <w:widowControl/>
        <w:jc w:val="left"/>
        <w:rPr>
          <w:rFonts w:hint="eastAsia" w:ascii="宋体" w:hAnsi="宋体" w:eastAsia="宋体" w:cs="宋体"/>
          <w:sz w:val="24"/>
          <w:szCs w:val="24"/>
        </w:rPr>
      </w:pPr>
      <w:r>
        <w:rPr>
          <w:rFonts w:hint="eastAsia" w:ascii="宋体" w:hAnsi="宋体" w:eastAsia="宋体" w:cs="宋体"/>
          <w:sz w:val="24"/>
          <w:szCs w:val="24"/>
        </w:rPr>
        <w:t>#include &lt;stdio.h&gt;</w:t>
      </w:r>
      <w:r>
        <w:rPr>
          <w:rFonts w:hint="eastAsia" w:ascii="宋体" w:hAnsi="宋体" w:eastAsia="宋体" w:cs="宋体"/>
          <w:sz w:val="24"/>
          <w:szCs w:val="24"/>
        </w:rPr>
        <w:br w:type="textWrapping"/>
      </w:r>
      <w:r>
        <w:rPr>
          <w:rFonts w:hint="eastAsia" w:ascii="宋体" w:hAnsi="宋体" w:eastAsia="宋体" w:cs="宋体"/>
          <w:sz w:val="24"/>
          <w:szCs w:val="24"/>
        </w:rPr>
        <w:t>#include &lt;stdlib.h&gt;</w:t>
      </w:r>
    </w:p>
    <w:p>
      <w:pPr>
        <w:widowControl/>
        <w:jc w:val="left"/>
        <w:rPr>
          <w:rFonts w:hint="eastAsia" w:ascii="宋体" w:hAnsi="宋体" w:eastAsia="宋体"/>
          <w:sz w:val="24"/>
          <w:szCs w:val="24"/>
          <w:lang w:val="en-US" w:eastAsia="zh-CN"/>
        </w:rPr>
      </w:pPr>
      <w:r>
        <w:rPr>
          <w:rFonts w:hint="eastAsia" w:ascii="宋体" w:hAnsi="宋体" w:eastAsia="宋体" w:cs="宋体"/>
          <w:sz w:val="24"/>
          <w:szCs w:val="24"/>
        </w:rPr>
        <w:br w:type="textWrapping"/>
      </w:r>
      <w:r>
        <w:rPr>
          <w:rFonts w:hint="eastAsia" w:ascii="宋体" w:hAnsi="宋体" w:eastAsia="宋体" w:cs="宋体"/>
          <w:sz w:val="24"/>
          <w:szCs w:val="24"/>
        </w:rPr>
        <w:t>int main(){</w:t>
      </w:r>
      <w:r>
        <w:rPr>
          <w:rFonts w:hint="eastAsia" w:ascii="宋体" w:hAnsi="宋体" w:eastAsia="宋体" w:cs="宋体"/>
          <w:sz w:val="24"/>
          <w:szCs w:val="24"/>
        </w:rPr>
        <w:br w:type="textWrapping"/>
      </w:r>
      <w:r>
        <w:rPr>
          <w:rFonts w:hint="eastAsia" w:ascii="宋体" w:hAnsi="宋体" w:eastAsia="宋体" w:cs="宋体"/>
          <w:sz w:val="24"/>
          <w:szCs w:val="24"/>
        </w:rPr>
        <w:t>int i,j;</w:t>
      </w:r>
      <w:r>
        <w:rPr>
          <w:rFonts w:hint="eastAsia" w:ascii="宋体" w:hAnsi="宋体" w:eastAsia="宋体" w:cs="宋体"/>
          <w:sz w:val="24"/>
          <w:szCs w:val="24"/>
        </w:rPr>
        <w:br w:type="textWrapping"/>
      </w:r>
      <w:r>
        <w:rPr>
          <w:rFonts w:hint="eastAsia" w:ascii="宋体" w:hAnsi="宋体" w:eastAsia="宋体" w:cs="宋体"/>
          <w:sz w:val="24"/>
          <w:szCs w:val="24"/>
        </w:rPr>
        <w:t>int m=46000;</w:t>
      </w:r>
      <w:r>
        <w:rPr>
          <w:rFonts w:hint="eastAsia" w:ascii="宋体" w:hAnsi="宋体" w:eastAsia="宋体" w:cs="宋体"/>
          <w:sz w:val="24"/>
          <w:szCs w:val="24"/>
        </w:rPr>
        <w:br w:type="textWrapping"/>
      </w:r>
      <w:r>
        <w:rPr>
          <w:rFonts w:hint="eastAsia" w:ascii="宋体" w:hAnsi="宋体" w:eastAsia="宋体" w:cs="宋体"/>
          <w:sz w:val="24"/>
          <w:szCs w:val="24"/>
        </w:rPr>
        <w:t>double y[30]={0.1104,0.1044,0.0904,0.0845,0.0779,0.0614,0.0552,0.0509,0.0508,0.0469,0.0387,0.0351,0.0349,0.0299,0.0269,0.0268,0.0226,0.0182,0.0176,0.0165};</w:t>
      </w:r>
      <w:r>
        <w:rPr>
          <w:rFonts w:hint="eastAsia" w:ascii="宋体" w:hAnsi="宋体" w:eastAsia="宋体" w:cs="宋体"/>
          <w:sz w:val="24"/>
          <w:szCs w:val="24"/>
        </w:rPr>
        <w:br w:type="textWrapping"/>
      </w:r>
      <w:r>
        <w:rPr>
          <w:rFonts w:hint="eastAsia" w:ascii="宋体" w:hAnsi="宋体" w:eastAsia="宋体" w:cs="宋体"/>
          <w:sz w:val="24"/>
          <w:szCs w:val="24"/>
        </w:rPr>
        <w:t>for(j=0;j&lt;20;j++){</w:t>
      </w:r>
      <w:r>
        <w:rPr>
          <w:rFonts w:hint="eastAsia" w:ascii="宋体" w:hAnsi="宋体" w:eastAsia="宋体" w:cs="宋体"/>
          <w:sz w:val="24"/>
          <w:szCs w:val="24"/>
        </w:rPr>
        <w:br w:type="textWrapping"/>
      </w:r>
      <w:r>
        <w:rPr>
          <w:rFonts w:hint="eastAsia" w:ascii="宋体" w:hAnsi="宋体" w:eastAsia="宋体" w:cs="宋体"/>
          <w:sz w:val="24"/>
          <w:szCs w:val="24"/>
        </w:rPr>
        <w:t>printf("选考专业:   ");</w:t>
      </w:r>
      <w:r>
        <w:rPr>
          <w:rFonts w:hint="eastAsia" w:ascii="宋体" w:hAnsi="宋体" w:eastAsia="宋体" w:cs="宋体"/>
          <w:sz w:val="24"/>
          <w:szCs w:val="24"/>
        </w:rPr>
        <w:br w:type="textWrapping"/>
      </w:r>
      <w:r>
        <w:rPr>
          <w:rFonts w:hint="eastAsia" w:ascii="宋体" w:hAnsi="宋体" w:eastAsia="宋体" w:cs="宋体"/>
          <w:sz w:val="24"/>
          <w:szCs w:val="24"/>
        </w:rPr>
        <w:t>printf("%1.2f \t",m*y[j]);</w:t>
      </w:r>
      <w:r>
        <w:rPr>
          <w:rFonts w:hint="eastAsia" w:ascii="宋体" w:hAnsi="宋体" w:eastAsia="宋体" w:cs="宋体"/>
          <w:sz w:val="24"/>
          <w:szCs w:val="24"/>
        </w:rPr>
        <w:br w:type="textWrapping"/>
      </w:r>
      <w:r>
        <w:rPr>
          <w:rFonts w:hint="eastAsia" w:ascii="宋体" w:hAnsi="宋体" w:eastAsia="宋体" w:cs="宋体"/>
          <w:sz w:val="24"/>
          <w:szCs w:val="24"/>
        </w:rPr>
        <w:t>printf("\n");</w:t>
      </w:r>
      <w:r>
        <w:rPr>
          <w:rFonts w:hint="eastAsia" w:ascii="宋体" w:hAnsi="宋体" w:eastAsia="宋体" w:cs="宋体"/>
          <w:sz w:val="24"/>
          <w:szCs w:val="24"/>
        </w:rPr>
        <w:br w:type="textWrapping"/>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system("pause");</w:t>
      </w:r>
      <w:r>
        <w:rPr>
          <w:rFonts w:hint="eastAsia" w:ascii="宋体" w:hAnsi="宋体" w:eastAsia="宋体" w:cs="宋体"/>
          <w:sz w:val="24"/>
          <w:szCs w:val="24"/>
        </w:rPr>
        <w:br w:type="textWrapping"/>
      </w:r>
      <w:r>
        <w:rPr>
          <w:rFonts w:hint="eastAsia" w:ascii="宋体" w:hAnsi="宋体" w:eastAsia="宋体" w:cs="宋体"/>
          <w:sz w:val="24"/>
          <w:szCs w:val="24"/>
        </w:rPr>
        <w:t>return 0;</w:t>
      </w:r>
      <w:r>
        <w:rPr>
          <w:rFonts w:hint="eastAsia" w:ascii="宋体" w:hAnsi="宋体" w:eastAsia="宋体" w:cs="宋体"/>
          <w:sz w:val="24"/>
          <w:szCs w:val="24"/>
        </w:rPr>
        <w:br w:type="textWrapping"/>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4E"/>
    <w:rsid w:val="00064BAA"/>
    <w:rsid w:val="00070735"/>
    <w:rsid w:val="00072E94"/>
    <w:rsid w:val="000825EF"/>
    <w:rsid w:val="000947E3"/>
    <w:rsid w:val="0009753A"/>
    <w:rsid w:val="000F10F1"/>
    <w:rsid w:val="0018485D"/>
    <w:rsid w:val="001C29B6"/>
    <w:rsid w:val="002136C9"/>
    <w:rsid w:val="00224FA9"/>
    <w:rsid w:val="002300BE"/>
    <w:rsid w:val="002308DA"/>
    <w:rsid w:val="0023107D"/>
    <w:rsid w:val="002340DD"/>
    <w:rsid w:val="00282CAF"/>
    <w:rsid w:val="00284523"/>
    <w:rsid w:val="002D7351"/>
    <w:rsid w:val="00337BF2"/>
    <w:rsid w:val="0034163F"/>
    <w:rsid w:val="00365F19"/>
    <w:rsid w:val="00366804"/>
    <w:rsid w:val="00381872"/>
    <w:rsid w:val="00384B9A"/>
    <w:rsid w:val="003C4E08"/>
    <w:rsid w:val="00411490"/>
    <w:rsid w:val="004230A9"/>
    <w:rsid w:val="00462899"/>
    <w:rsid w:val="004A7A74"/>
    <w:rsid w:val="004B0558"/>
    <w:rsid w:val="00501026"/>
    <w:rsid w:val="005352F8"/>
    <w:rsid w:val="00535E0F"/>
    <w:rsid w:val="0058418F"/>
    <w:rsid w:val="005859D3"/>
    <w:rsid w:val="005C3FCA"/>
    <w:rsid w:val="005E329B"/>
    <w:rsid w:val="00602F91"/>
    <w:rsid w:val="00640E08"/>
    <w:rsid w:val="00661343"/>
    <w:rsid w:val="006658AA"/>
    <w:rsid w:val="00720BB4"/>
    <w:rsid w:val="00722007"/>
    <w:rsid w:val="007308A5"/>
    <w:rsid w:val="00793D67"/>
    <w:rsid w:val="007F104E"/>
    <w:rsid w:val="007F557D"/>
    <w:rsid w:val="008A143E"/>
    <w:rsid w:val="00910CA5"/>
    <w:rsid w:val="00925D88"/>
    <w:rsid w:val="00955DAF"/>
    <w:rsid w:val="00963F72"/>
    <w:rsid w:val="009C6792"/>
    <w:rsid w:val="009F37AE"/>
    <w:rsid w:val="00A4692B"/>
    <w:rsid w:val="00A47EFC"/>
    <w:rsid w:val="00A70A49"/>
    <w:rsid w:val="00B12267"/>
    <w:rsid w:val="00B250FB"/>
    <w:rsid w:val="00B66F3E"/>
    <w:rsid w:val="00B76CDB"/>
    <w:rsid w:val="00B874ED"/>
    <w:rsid w:val="00C3626F"/>
    <w:rsid w:val="00C43567"/>
    <w:rsid w:val="00C5325D"/>
    <w:rsid w:val="00C73A3C"/>
    <w:rsid w:val="00CA0DFC"/>
    <w:rsid w:val="00CD0BE4"/>
    <w:rsid w:val="00CF1533"/>
    <w:rsid w:val="00D26E3C"/>
    <w:rsid w:val="00D71512"/>
    <w:rsid w:val="00DB17F3"/>
    <w:rsid w:val="00DE1BC2"/>
    <w:rsid w:val="00DF0E29"/>
    <w:rsid w:val="00DF7684"/>
    <w:rsid w:val="00E475BB"/>
    <w:rsid w:val="00E60B05"/>
    <w:rsid w:val="00E64222"/>
    <w:rsid w:val="00EA78C6"/>
    <w:rsid w:val="00EC020E"/>
    <w:rsid w:val="00EC4AF9"/>
    <w:rsid w:val="00F6716F"/>
    <w:rsid w:val="0D5351C4"/>
    <w:rsid w:val="114636F8"/>
    <w:rsid w:val="12325CB7"/>
    <w:rsid w:val="1B4614FA"/>
    <w:rsid w:val="22AC68D4"/>
    <w:rsid w:val="23522F17"/>
    <w:rsid w:val="353008E3"/>
    <w:rsid w:val="364F5277"/>
    <w:rsid w:val="393309B6"/>
    <w:rsid w:val="3BC93FC2"/>
    <w:rsid w:val="448D0312"/>
    <w:rsid w:val="50740DAD"/>
    <w:rsid w:val="509C4970"/>
    <w:rsid w:val="550977D7"/>
    <w:rsid w:val="5AF40B9F"/>
    <w:rsid w:val="690118F3"/>
    <w:rsid w:val="6D283276"/>
    <w:rsid w:val="6E1C0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semiHidden/>
    <w:unhideWhenUsed/>
    <w:uiPriority w:val="99"/>
    <w:pPr>
      <w:jc w:val="left"/>
    </w:pPr>
  </w:style>
  <w:style w:type="paragraph" w:styleId="5">
    <w:name w:val="Date"/>
    <w:basedOn w:val="1"/>
    <w:next w:val="1"/>
    <w:link w:val="26"/>
    <w:semiHidden/>
    <w:unhideWhenUsed/>
    <w:qFormat/>
    <w:uiPriority w:val="99"/>
    <w:pPr>
      <w:ind w:left="100" w:leftChars="2500"/>
    </w:pPr>
  </w:style>
  <w:style w:type="paragraph" w:styleId="6">
    <w:name w:val="Balloon Text"/>
    <w:basedOn w:val="1"/>
    <w:link w:val="23"/>
    <w:semiHidden/>
    <w:unhideWhenUsed/>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annotation subject"/>
    <w:basedOn w:val="4"/>
    <w:next w:val="4"/>
    <w:link w:val="22"/>
    <w:semiHidden/>
    <w:unhideWhenUsed/>
    <w:qFormat/>
    <w:uiPriority w:val="99"/>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unhideWhenUsed/>
    <w:qFormat/>
    <w:uiPriority w:val="99"/>
    <w:rPr>
      <w:color w:val="0000FF"/>
      <w:u w:val="single"/>
    </w:rPr>
  </w:style>
  <w:style w:type="character" w:styleId="15">
    <w:name w:val="annotation reference"/>
    <w:basedOn w:val="13"/>
    <w:semiHidden/>
    <w:unhideWhenUsed/>
    <w:qFormat/>
    <w:uiPriority w:val="99"/>
    <w:rPr>
      <w:sz w:val="21"/>
      <w:szCs w:val="21"/>
    </w:rPr>
  </w:style>
  <w:style w:type="character" w:customStyle="1" w:styleId="16">
    <w:name w:val="页眉 字符"/>
    <w:basedOn w:val="13"/>
    <w:link w:val="8"/>
    <w:qFormat/>
    <w:uiPriority w:val="99"/>
    <w:rPr>
      <w:sz w:val="18"/>
      <w:szCs w:val="18"/>
    </w:rPr>
  </w:style>
  <w:style w:type="character" w:customStyle="1" w:styleId="17">
    <w:name w:val="页脚 字符"/>
    <w:basedOn w:val="13"/>
    <w:link w:val="7"/>
    <w:qFormat/>
    <w:uiPriority w:val="99"/>
    <w:rPr>
      <w:sz w:val="18"/>
      <w:szCs w:val="18"/>
    </w:rPr>
  </w:style>
  <w:style w:type="character" w:customStyle="1" w:styleId="18">
    <w:name w:val="标题 1 字符"/>
    <w:basedOn w:val="13"/>
    <w:link w:val="2"/>
    <w:qFormat/>
    <w:uiPriority w:val="9"/>
    <w:rPr>
      <w:b/>
      <w:bCs/>
      <w:kern w:val="44"/>
      <w:sz w:val="44"/>
      <w:szCs w:val="44"/>
    </w:rPr>
  </w:style>
  <w:style w:type="character" w:customStyle="1" w:styleId="19">
    <w:name w:val="标题 2 字符"/>
    <w:basedOn w:val="13"/>
    <w:link w:val="3"/>
    <w:qFormat/>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 w:type="character" w:customStyle="1" w:styleId="21">
    <w:name w:val="批注文字 字符"/>
    <w:basedOn w:val="13"/>
    <w:link w:val="4"/>
    <w:semiHidden/>
    <w:qFormat/>
    <w:uiPriority w:val="99"/>
  </w:style>
  <w:style w:type="character" w:customStyle="1" w:styleId="22">
    <w:name w:val="批注主题 字符"/>
    <w:basedOn w:val="21"/>
    <w:link w:val="10"/>
    <w:semiHidden/>
    <w:qFormat/>
    <w:uiPriority w:val="99"/>
    <w:rPr>
      <w:b/>
      <w:bCs/>
    </w:rPr>
  </w:style>
  <w:style w:type="character" w:customStyle="1" w:styleId="23">
    <w:name w:val="批注框文本 字符"/>
    <w:basedOn w:val="13"/>
    <w:link w:val="6"/>
    <w:semiHidden/>
    <w:qFormat/>
    <w:uiPriority w:val="99"/>
    <w:rPr>
      <w:sz w:val="18"/>
      <w:szCs w:val="18"/>
    </w:rPr>
  </w:style>
  <w:style w:type="character" w:styleId="24">
    <w:name w:val="Placeholder Text"/>
    <w:basedOn w:val="13"/>
    <w:semiHidden/>
    <w:qFormat/>
    <w:uiPriority w:val="99"/>
    <w:rPr>
      <w:color w:val="808080"/>
    </w:rPr>
  </w:style>
  <w:style w:type="character" w:customStyle="1" w:styleId="25">
    <w:name w:val="Unresolved Mention"/>
    <w:basedOn w:val="13"/>
    <w:semiHidden/>
    <w:unhideWhenUsed/>
    <w:qFormat/>
    <w:uiPriority w:val="99"/>
    <w:rPr>
      <w:color w:val="605E5C"/>
      <w:shd w:val="clear" w:color="auto" w:fill="E1DFDD"/>
    </w:rPr>
  </w:style>
  <w:style w:type="character" w:customStyle="1" w:styleId="26">
    <w:name w:val="日期 字符"/>
    <w:basedOn w:val="13"/>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Documents/Tencent%2525252520Files/1227797704/Image/C2C/5UA%25252525607PONS0O~XDQE1XVIS9K.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Documents/Tencent%2525252520Files/1227797704/Image/C2C/H55ZN%2525252560)MP66FQDICAL06$%252525255b1.png" TargetMode="External"/><Relationship Id="rId11" Type="http://schemas.openxmlformats.org/officeDocument/2006/relationships/image" Target="media/image5.png"/><Relationship Id="rId10" Type="http://schemas.openxmlformats.org/officeDocument/2006/relationships/image" Target="../AppData/Roaming/Tencent/Users/1227797704/QQ/WinTemp/RichOle/YB@%252525255b(E80%2525252525(R%252525257bR%252525255b7I8PH)%252525257bGW.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1DF151-8EF0-45E4-868A-583C0E02492C}">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1594</Words>
  <Characters>9087</Characters>
  <Lines>75</Lines>
  <Paragraphs>21</Paragraphs>
  <TotalTime>29</TotalTime>
  <ScaleCrop>false</ScaleCrop>
  <LinksUpToDate>false</LinksUpToDate>
  <CharactersWithSpaces>10660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2019-05-12T06:45:00Z</dcterms:created>
  <dc:creator>mmyj1999@outlook.com</dc:creator>
  <cp:lastModifiedBy>冷馨</cp:lastModifiedBy>
  <dcterms:modified xsi:type="dcterms:W3CDTF">2019-05-13T16:38:33Z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