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B2F03" w14:textId="0392A186" w:rsidR="00032E14" w:rsidRDefault="00B80C2C">
      <w:pPr>
        <w:rPr>
          <w:lang w:val="vi-VN"/>
        </w:rPr>
      </w:pPr>
      <w:r>
        <w:rPr>
          <w:lang w:val="vi-VN"/>
        </w:rPr>
        <w:t xml:space="preserve">Group 01: </w:t>
      </w:r>
    </w:p>
    <w:p w14:paraId="1BDB704C" w14:textId="77777777" w:rsidR="00B80C2C" w:rsidRDefault="00B80C2C" w:rsidP="00B80C2C">
      <w:pPr>
        <w:spacing w:after="80" w:line="360" w:lineRule="auto"/>
        <w:jc w:val="center"/>
      </w:pPr>
      <w:r>
        <w:rPr>
          <w:rFonts w:ascii="Times New Roman" w:eastAsia="Times New Roman" w:hAnsi="Times New Roman" w:cs="Times New Roman"/>
          <w:b/>
          <w:bCs/>
          <w:color w:val="000000"/>
          <w:sz w:val="32"/>
          <w:szCs w:val="32"/>
        </w:rPr>
        <w:t>BÁO CÁO TỔNG HỢP TÀI LIỆU</w:t>
      </w:r>
    </w:p>
    <w:p w14:paraId="4C6FC2D0" w14:textId="77777777" w:rsidR="00B80C2C" w:rsidRDefault="00B80C2C" w:rsidP="00B80C2C">
      <w:pPr>
        <w:spacing w:after="48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10 Paper Nghiên cứu Liên quan đến Dự án MediScan AI</w:t>
      </w:r>
    </w:p>
    <w:p w14:paraId="48C83837" w14:textId="77777777" w:rsidR="00B80C2C" w:rsidRDefault="00B80C2C" w:rsidP="00B80C2C">
      <w:pPr>
        <w:spacing w:after="40" w:line="360" w:lineRule="auto"/>
        <w:jc w:val="center"/>
      </w:pPr>
      <w:r>
        <w:rPr>
          <w:rFonts w:ascii="Times New Roman" w:eastAsia="Times New Roman" w:hAnsi="Times New Roman" w:cs="Times New Roman"/>
          <w:color w:val="000000"/>
          <w:sz w:val="24"/>
          <w:szCs w:val="24"/>
        </w:rPr>
        <w:t>Chủ đề: Nhận dạng đơn thuốc viết tay, Phát hiện tương tác thuốc</w:t>
      </w:r>
    </w:p>
    <w:p w14:paraId="4421798F" w14:textId="77777777" w:rsidR="00B80C2C" w:rsidRDefault="00B80C2C" w:rsidP="00B80C2C">
      <w:pPr>
        <w:spacing w:after="480" w:line="360" w:lineRule="auto"/>
        <w:jc w:val="center"/>
      </w:pPr>
      <w:r>
        <w:rPr>
          <w:rFonts w:ascii="Times New Roman" w:eastAsia="Times New Roman" w:hAnsi="Times New Roman" w:cs="Times New Roman"/>
          <w:color w:val="000000"/>
          <w:sz w:val="24"/>
          <w:szCs w:val="24"/>
        </w:rPr>
        <w:t>và Nhận dạng thực thể y tế từ hồ sơ bệnh án điện tử</w:t>
      </w:r>
    </w:p>
    <w:p w14:paraId="53414C26" w14:textId="77777777" w:rsidR="00B80C2C" w:rsidRDefault="00B80C2C" w:rsidP="00B80C2C">
      <w:pPr>
        <w:spacing w:after="80" w:line="360" w:lineRule="auto"/>
        <w:jc w:val="center"/>
      </w:pPr>
      <w:r>
        <w:rPr>
          <w:rFonts w:ascii="Times New Roman" w:eastAsia="Times New Roman" w:hAnsi="Times New Roman" w:cs="Times New Roman"/>
          <w:color w:val="000000"/>
          <w:sz w:val="24"/>
          <w:szCs w:val="24"/>
        </w:rPr>
        <w:t>Nguồn tài liệu: Springer Nature Link (link.springer.com)</w:t>
      </w:r>
    </w:p>
    <w:p w14:paraId="4D30F3FB" w14:textId="77777777" w:rsidR="00B80C2C" w:rsidRDefault="00B80C2C" w:rsidP="00B80C2C">
      <w:pPr>
        <w:spacing w:before="240" w:after="120"/>
      </w:pPr>
      <w:r>
        <w:rPr>
          <w:rFonts w:ascii="Times New Roman" w:eastAsia="Times New Roman" w:hAnsi="Times New Roman" w:cs="Times New Roman"/>
          <w:b/>
          <w:bCs/>
          <w:color w:val="000000"/>
          <w:sz w:val="28"/>
          <w:szCs w:val="28"/>
        </w:rPr>
        <w:t>I. GIỚI THIỆU</w:t>
      </w:r>
    </w:p>
    <w:p w14:paraId="6A0CC97C" w14:textId="77777777" w:rsidR="00B80C2C" w:rsidRDefault="00B80C2C" w:rsidP="00B80C2C">
      <w:pPr>
        <w:spacing w:before="80" w:after="80" w:line="360" w:lineRule="auto"/>
        <w:jc w:val="both"/>
      </w:pPr>
      <w:r>
        <w:rPr>
          <w:rFonts w:ascii="Times New Roman" w:eastAsia="Times New Roman" w:hAnsi="Times New Roman" w:cs="Times New Roman"/>
          <w:color w:val="000000"/>
          <w:sz w:val="24"/>
          <w:szCs w:val="24"/>
        </w:rPr>
        <w:t>Báo cáo này tổng hợp và phân tích 10 bài báo khoa học được tìm kiếm trên nền tảng Springer Nature Link, trực tiếp liên quan đến ba lĩnh vực cốt lõi của dự án MediScan AI:</w:t>
      </w:r>
    </w:p>
    <w:p w14:paraId="079A8A12" w14:textId="77777777" w:rsidR="00B80C2C" w:rsidRDefault="00B80C2C" w:rsidP="00B80C2C">
      <w:pPr>
        <w:pStyle w:val="ListParagraph"/>
        <w:numPr>
          <w:ilvl w:val="0"/>
          <w:numId w:val="2"/>
        </w:numPr>
        <w:spacing w:before="60" w:after="60" w:line="340" w:lineRule="auto"/>
      </w:pPr>
      <w:r>
        <w:t>Nhận dạng chữ viết tay y tế bằng OCR và Deep Learning (Paper 1–5)</w:t>
      </w:r>
    </w:p>
    <w:p w14:paraId="4EAF76DB" w14:textId="77777777" w:rsidR="00B80C2C" w:rsidRDefault="00B80C2C" w:rsidP="00B80C2C">
      <w:pPr>
        <w:pStyle w:val="ListParagraph"/>
        <w:numPr>
          <w:ilvl w:val="0"/>
          <w:numId w:val="2"/>
        </w:numPr>
        <w:spacing w:before="60" w:after="60" w:line="340" w:lineRule="auto"/>
      </w:pPr>
      <w:r>
        <w:t>Phát hiện và dự đoán tương tác thuốc (Drug-Drug Interaction) bằng Machine Learning và Knowledge Graph (Paper 6–8)</w:t>
      </w:r>
    </w:p>
    <w:p w14:paraId="3C6F90BE" w14:textId="77777777" w:rsidR="00B80C2C" w:rsidRDefault="00B80C2C" w:rsidP="00B80C2C">
      <w:pPr>
        <w:pStyle w:val="ListParagraph"/>
        <w:numPr>
          <w:ilvl w:val="0"/>
          <w:numId w:val="2"/>
        </w:numPr>
        <w:spacing w:before="60" w:after="60" w:line="340" w:lineRule="auto"/>
      </w:pPr>
      <w:r>
        <w:t>Nhận dạng thực thể y tế (Named Entity Recognition) từ hồ sơ bệnh án điện tử (Paper 9–10)</w:t>
      </w:r>
    </w:p>
    <w:p w14:paraId="1F10930E" w14:textId="77777777" w:rsidR="00B80C2C" w:rsidRDefault="00B80C2C" w:rsidP="00B80C2C">
      <w:pPr>
        <w:spacing w:before="80" w:after="80" w:line="360" w:lineRule="auto"/>
        <w:jc w:val="both"/>
      </w:pPr>
      <w:r>
        <w:rPr>
          <w:rFonts w:ascii="Times New Roman" w:eastAsia="Times New Roman" w:hAnsi="Times New Roman" w:cs="Times New Roman"/>
          <w:color w:val="000000"/>
          <w:sz w:val="24"/>
          <w:szCs w:val="24"/>
        </w:rPr>
        <w:t>Mỗi paper được trình bày theo cấu trúc thống nhất: thông tin trích dẫn, tóm tắt nội dung và nhận xét đánh giá của nhóm về điểm mạnh, hạn chế và mức độ liên quan đến dự án.</w:t>
      </w:r>
    </w:p>
    <w:p w14:paraId="59E6453E" w14:textId="77777777" w:rsidR="00B80C2C" w:rsidRDefault="00B80C2C" w:rsidP="00B80C2C">
      <w:pPr>
        <w:spacing w:before="80" w:after="80" w:line="360" w:lineRule="auto"/>
        <w:jc w:val="both"/>
      </w:pPr>
    </w:p>
    <w:p w14:paraId="71FB4E76" w14:textId="77777777" w:rsidR="00B80C2C" w:rsidRDefault="00B80C2C" w:rsidP="00B80C2C">
      <w:r>
        <w:br w:type="page"/>
      </w:r>
    </w:p>
    <w:p w14:paraId="50FDF722" w14:textId="77777777" w:rsidR="00B80C2C" w:rsidRDefault="00B80C2C" w:rsidP="00B80C2C">
      <w:pPr>
        <w:spacing w:before="240" w:after="120"/>
      </w:pPr>
      <w:r>
        <w:rPr>
          <w:rFonts w:ascii="Times New Roman" w:eastAsia="Times New Roman" w:hAnsi="Times New Roman" w:cs="Times New Roman"/>
          <w:b/>
          <w:bCs/>
          <w:color w:val="000000"/>
          <w:sz w:val="28"/>
          <w:szCs w:val="28"/>
        </w:rPr>
        <w:lastRenderedPageBreak/>
        <w:t>II. PHÂN TÍCH CÁC PAPER</w:t>
      </w:r>
    </w:p>
    <w:p w14:paraId="39FEAD57" w14:textId="77777777" w:rsidR="00B80C2C" w:rsidRDefault="00B80C2C" w:rsidP="00B80C2C">
      <w:pPr>
        <w:spacing w:before="200" w:line="360" w:lineRule="auto"/>
        <w:jc w:val="both"/>
      </w:pPr>
    </w:p>
    <w:p w14:paraId="7A4CC236"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1. Simplifying Handwritten Medical Prescription: OCR Approach</w:t>
      </w:r>
    </w:p>
    <w:p w14:paraId="6DC38920"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Sethi, P.S., Gupta, M., Kumar, P., Kaur, G. (2023)</w:t>
      </w:r>
    </w:p>
    <w:p w14:paraId="0170860B"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Lecture Notes in Networks and Systems, Vol. 666. Springer, Singapore.</w:t>
      </w:r>
    </w:p>
    <w:p w14:paraId="54D2F962"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5" w:history="1">
        <w:r>
          <w:rPr>
            <w:rFonts w:ascii="Times New Roman" w:eastAsia="Times New Roman" w:hAnsi="Times New Roman" w:cs="Times New Roman"/>
            <w:color w:val="0563C1"/>
            <w:sz w:val="24"/>
            <w:szCs w:val="24"/>
            <w:u w:val="single"/>
          </w:rPr>
          <w:t>https://link.springer.com/chapter/10.1007/978-981-99-1620-7_4</w:t>
        </w:r>
      </w:hyperlink>
    </w:p>
    <w:p w14:paraId="3CB616F2"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6" w:history="1">
        <w:r>
          <w:rPr>
            <w:rFonts w:ascii="Times New Roman" w:eastAsia="Times New Roman" w:hAnsi="Times New Roman" w:cs="Times New Roman"/>
            <w:color w:val="0563C1"/>
            <w:sz w:val="24"/>
            <w:szCs w:val="24"/>
            <w:u w:val="single"/>
          </w:rPr>
          <w:t>https://doi.org/10.1007/978-981-99-1620-7_4</w:t>
        </w:r>
      </w:hyperlink>
    </w:p>
    <w:p w14:paraId="309B07E6"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Bài báo trình bày hệ thống OCR nhằm tự động nhận dạng chữ viết tay trên đơn thuốc bác sĩ. Tác giả sử dụng kết hợp tiền xử lý ảnh (lọc nhiễu, nhị phân hóa Otsu), phân đoạn ký tự và mạng CNN để phân loại từng ký tự. Hệ thống được thử nghiệm trên tập dữ liệu đơn thuốc thu thập từ các phòng khám tư tại Ấn Độ và đạt độ chính xác nhận dạng đáng kể với tên thuốc phổ biến.</w:t>
      </w:r>
    </w:p>
    <w:p w14:paraId="468ACF0E"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Đây là một trong những nghiên cứu sớm nhất đặt bài toán OCR đơn thuốc một cách có hệ thống. Điểm mạnh nằm ở quy trình tiền xử lý ảnh rõ ràng và kiến trúc gọn nhẹ, phù hợp triển khai trên thiết bị di động. Tuy nhiên, hạn chế lớn là dataset nhỏ và thuần nhất, dẫn đến mô hình khó tổng quát khi gặp phong cách chữ viết đa dạng của bác sĩ. Ngoài ra, bài chưa tích hợp từ điển y khoa để sửa lỗi hậu nhận dạng, vốn rất cần thiết với tên thuốc viết tắt. Đối với dự án MediScan AI, nghiên cứu này cung cấp nền tảng quy trình tiền xử lý ảnh đơn thuốc có thể áp dụng trực tiếp.</w:t>
      </w:r>
    </w:p>
    <w:p w14:paraId="56363762" w14:textId="77777777" w:rsidR="00B80C2C" w:rsidRDefault="00B80C2C" w:rsidP="00B80C2C">
      <w:pPr>
        <w:spacing w:before="200" w:line="360" w:lineRule="auto"/>
        <w:jc w:val="both"/>
      </w:pPr>
    </w:p>
    <w:p w14:paraId="78F788A2"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2. Doctor's Handwritten Prescription Recognition System Using Machine Learning</w:t>
      </w:r>
    </w:p>
    <w:p w14:paraId="4B41AD7B"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Pavithiran, G., Padmanabhan, S., et al. (2024)</w:t>
      </w:r>
    </w:p>
    <w:p w14:paraId="31A9207A"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Lecture Notes in Networks and Systems, Vol. 1078. Springer, Singapore.</w:t>
      </w:r>
    </w:p>
    <w:p w14:paraId="404FA52A"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7" w:history="1">
        <w:r>
          <w:rPr>
            <w:rFonts w:ascii="Times New Roman" w:eastAsia="Times New Roman" w:hAnsi="Times New Roman" w:cs="Times New Roman"/>
            <w:color w:val="0563C1"/>
            <w:sz w:val="24"/>
            <w:szCs w:val="24"/>
            <w:u w:val="single"/>
          </w:rPr>
          <w:t>https://link.springer.com/chapter/10.1007/978-981-96-3797-3_5</w:t>
        </w:r>
      </w:hyperlink>
    </w:p>
    <w:p w14:paraId="4A80029D"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8" w:history="1">
        <w:r>
          <w:rPr>
            <w:rFonts w:ascii="Times New Roman" w:eastAsia="Times New Roman" w:hAnsi="Times New Roman" w:cs="Times New Roman"/>
            <w:color w:val="0563C1"/>
            <w:sz w:val="24"/>
            <w:szCs w:val="24"/>
            <w:u w:val="single"/>
          </w:rPr>
          <w:t>https://doi.org/10.1007/978-981-96-3797-3_5</w:t>
        </w:r>
      </w:hyperlink>
    </w:p>
    <w:p w14:paraId="2BF13061"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Nghiên cứu xây dựng hệ thống nhận dạng chữ viết tay bác sĩ dựa trên kiến trúc CRNN (Convolutional Recurrent Neural Network), kết hợp CNN để trích xuất đặc trưng hình ảnh và LSTM hai chiều để giải mã chuỗi ký tự. Tập dữ liệu được thu thập trực tiếp từ bác sĩ và sinh viên y khoa tại SMBT Institute of Medical Sciences. Mô hình được đánh giá qua chỉ số CER và WER, cho thấy hiệu suất vượt trội so với các phương pháp CNN thuần túy trước đó.</w:t>
      </w:r>
    </w:p>
    <w:p w14:paraId="5ED9CFEE"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lastRenderedPageBreak/>
        <w:t xml:space="preserve">Nhận xét: </w:t>
      </w:r>
      <w:r>
        <w:rPr>
          <w:rFonts w:ascii="Times New Roman" w:eastAsia="Times New Roman" w:hAnsi="Times New Roman" w:cs="Times New Roman"/>
          <w:color w:val="000000"/>
          <w:sz w:val="24"/>
          <w:szCs w:val="24"/>
        </w:rPr>
        <w:t>CRNN là bước tiến quan trọng so với CNN đơn thuần vì không cần bước phân đoạn ký tự rõ ràng, giúp tránh lỗi lan truyền từ giai đoạn phân đoạn sang nhận dạng. Nghiên cứu cũng trung thực khi thừa nhận hạn chế: mô hình cần dữ liệu huấn luyện lớn và tốc độ suy luận chưa đủ nhanh cho thiết bị phần cứng yếu. Đây là tài liệu tham khảo kỹ thuật cốt lõi cho module OCR Service của MediScan AI, đặc biệt về lựa chọn kiến trúc và quy trình đánh giá mô hình.</w:t>
      </w:r>
    </w:p>
    <w:p w14:paraId="650ABD5E" w14:textId="77777777" w:rsidR="00B80C2C" w:rsidRDefault="00B80C2C" w:rsidP="00B80C2C">
      <w:pPr>
        <w:spacing w:before="200" w:line="360" w:lineRule="auto"/>
        <w:jc w:val="both"/>
      </w:pPr>
    </w:p>
    <w:p w14:paraId="680FAC2B"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3. MediScan Handwritten Prescription Translator Using Deep Learning</w:t>
      </w:r>
    </w:p>
    <w:p w14:paraId="3C4CD27A"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Vidhya, S., Yukendhira, M., Sidharth, K. (2024)</w:t>
      </w:r>
    </w:p>
    <w:p w14:paraId="6A335887"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Lecture Notes in Networks and Systems, Vol. 1057. Springer, Cham.</w:t>
      </w:r>
    </w:p>
    <w:p w14:paraId="4ED81473"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9" w:history="1">
        <w:r>
          <w:rPr>
            <w:rFonts w:ascii="Times New Roman" w:eastAsia="Times New Roman" w:hAnsi="Times New Roman" w:cs="Times New Roman"/>
            <w:color w:val="0563C1"/>
            <w:sz w:val="24"/>
            <w:szCs w:val="24"/>
            <w:u w:val="single"/>
          </w:rPr>
          <w:t>https://link.springer.com/chapter/10.1007/978-3-031-69201-7_15</w:t>
        </w:r>
      </w:hyperlink>
    </w:p>
    <w:p w14:paraId="52955EB6"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10" w:history="1">
        <w:r>
          <w:rPr>
            <w:rFonts w:ascii="Times New Roman" w:eastAsia="Times New Roman" w:hAnsi="Times New Roman" w:cs="Times New Roman"/>
            <w:color w:val="0563C1"/>
            <w:sz w:val="24"/>
            <w:szCs w:val="24"/>
            <w:u w:val="single"/>
          </w:rPr>
          <w:t>https://doi.org/10.1007/978-3-031-69201-7_15</w:t>
        </w:r>
      </w:hyperlink>
    </w:p>
    <w:p w14:paraId="475F4B47"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Bài báo giới thiệu hệ thống cùng tên MediScan sử dụng YOLOv5 để phát hiện vùng chứa văn bản trong ảnh đơn thuốc, kết hợp RNN để nhận dạng ký tự. Điểm đặc biệt của nghiên cứu là tích hợp hỗ trợ đa ngôn ngữ thông qua mô hình dịch máy, cho phép bệnh nhân đọc thông tin thuốc bằng tiếng mẹ đẻ. Hệ thống cũng cung cấp thông tin dược lý đầy đủ sau khi nhận dạng xong.</w:t>
      </w:r>
    </w:p>
    <w:p w14:paraId="2DD7B07F"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Việc áp dụng YOLOv5 cho bước phát hiện vùng văn bản là hướng tiếp cận thông minh, đặc biệt khi ảnh đơn thuốc có nhiều vùng nội dung lẫn lộn. Tuy nhiên, YOLOv5 đòi hỏi tài nguyên GPU đáng kể, gây khó khăn khi triển khai trên mobile. Phần dịch đa ngôn ngữ dù sáng tạo nhưng tiềm ẩn rủi ro sai lệch thuật ngữ y tế do phụ thuộc mô hình dịch thông dụng. Tên và hướng tiếp cận gần giống với MediScan AI của nhóm, đây là cả cơ hội tham khảo lẫn tín hiệu để phân biệt rõ điểm khác biệt trong thiết kế.</w:t>
      </w:r>
    </w:p>
    <w:p w14:paraId="469AB979" w14:textId="77777777" w:rsidR="00B80C2C" w:rsidRDefault="00B80C2C" w:rsidP="00B80C2C">
      <w:pPr>
        <w:spacing w:before="200" w:line="360" w:lineRule="auto"/>
        <w:jc w:val="both"/>
      </w:pPr>
    </w:p>
    <w:p w14:paraId="38CA3FC8"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4. Disease Identification from Illegible Medical Prescriptions Using OCR and NLP Techniques</w:t>
      </w:r>
    </w:p>
    <w:p w14:paraId="41FDB9EB"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Kokatnoor, A.Y., et al. (2025)</w:t>
      </w:r>
    </w:p>
    <w:p w14:paraId="3DD2332E"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Lecture Notes in Networks and Systems, Vol. 1298. Springer, Singapore.</w:t>
      </w:r>
    </w:p>
    <w:p w14:paraId="44023823"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11" w:history="1">
        <w:r>
          <w:rPr>
            <w:rFonts w:ascii="Times New Roman" w:eastAsia="Times New Roman" w:hAnsi="Times New Roman" w:cs="Times New Roman"/>
            <w:color w:val="0563C1"/>
            <w:sz w:val="24"/>
            <w:szCs w:val="24"/>
            <w:u w:val="single"/>
          </w:rPr>
          <w:t>https://link.springer.com/chapter/10.1007/978-981-96-9724-3_40</w:t>
        </w:r>
      </w:hyperlink>
    </w:p>
    <w:p w14:paraId="24307B0C"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lastRenderedPageBreak/>
        <w:t xml:space="preserve">DOI: </w:t>
      </w:r>
      <w:hyperlink r:id="rId12" w:history="1">
        <w:r>
          <w:rPr>
            <w:rFonts w:ascii="Times New Roman" w:eastAsia="Times New Roman" w:hAnsi="Times New Roman" w:cs="Times New Roman"/>
            <w:color w:val="0563C1"/>
            <w:sz w:val="24"/>
            <w:szCs w:val="24"/>
            <w:u w:val="single"/>
          </w:rPr>
          <w:t>https://doi.org/10.1007/978-981-96-9724-3_40</w:t>
        </w:r>
      </w:hyperlink>
    </w:p>
    <w:p w14:paraId="72ED3726"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Nghiên cứu kết hợp OCR (Tesseract, TrOCR) và các kỹ thuật NLP để xử lý đơn thuốc khó đọc, đồng thời suy luận ngược tên bệnh từ danh sách thuốc được kê. Đây là bước mở rộng đáng kể so với các nghiên cứu chỉ dừng ở nhận dạng văn bản, tiến tới hiểu ngữ nghĩa y tế. Hệ thống được thử nghiệm trên đơn thuốc thực tế thu thập từ phòng khám ngoại trú tại Karnataka, Ấn Độ.</w:t>
      </w:r>
    </w:p>
    <w:p w14:paraId="1169AB10"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Hướng đi từ OCR đơn thuần sang suy luận bệnh lý là đóng góp nổi bật của bài. Tuy nhiên, việc dùng Tesseract thuần túy có hạn chế rõ ràng với chữ viết tay tự do của bác sĩ. Suy luận bệnh từ tên thuốc cũng dễ sai khi một thuốc có nhiều chỉ định khác nhau. Dù vậy, đây là gợi ý giá trị cho việc mở rộng Digital Health Log của MediScan AI: không chỉ lưu đơn thuốc mà còn liên kết với mã bệnh ICD-10 tương ứng.</w:t>
      </w:r>
    </w:p>
    <w:p w14:paraId="1DD43AD7" w14:textId="77777777" w:rsidR="00B80C2C" w:rsidRDefault="00B80C2C" w:rsidP="00B80C2C">
      <w:pPr>
        <w:spacing w:before="200" w:line="360" w:lineRule="auto"/>
        <w:jc w:val="both"/>
      </w:pPr>
    </w:p>
    <w:p w14:paraId="71E1FC28"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5. A Novel Handwritten Prescription Recognition with Stochastic Gradient Descent Using Adaptive Momentum Learning</w:t>
      </w:r>
    </w:p>
    <w:p w14:paraId="05937143"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Rani, S., Rehman, A.U., Yousaf, B., et al. (2024)</w:t>
      </w:r>
    </w:p>
    <w:p w14:paraId="046CCC05"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Lecture Notes in Networks and Systems, Vol. 1002. Springer, Singapore.</w:t>
      </w:r>
    </w:p>
    <w:p w14:paraId="5CDB8387"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13" w:history="1">
        <w:r>
          <w:rPr>
            <w:rFonts w:ascii="Times New Roman" w:eastAsia="Times New Roman" w:hAnsi="Times New Roman" w:cs="Times New Roman"/>
            <w:color w:val="0563C1"/>
            <w:sz w:val="24"/>
            <w:szCs w:val="24"/>
            <w:u w:val="single"/>
          </w:rPr>
          <w:t>https://link.springer.com/chapter/10.1007/978-981-97-3442-9_54</w:t>
        </w:r>
      </w:hyperlink>
    </w:p>
    <w:p w14:paraId="6C51B638"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14" w:history="1">
        <w:r>
          <w:rPr>
            <w:rFonts w:ascii="Times New Roman" w:eastAsia="Times New Roman" w:hAnsi="Times New Roman" w:cs="Times New Roman"/>
            <w:color w:val="0563C1"/>
            <w:sz w:val="24"/>
            <w:szCs w:val="24"/>
            <w:u w:val="single"/>
          </w:rPr>
          <w:t>https://doi.org/10.1007/978-981-97-3442-9_54</w:t>
        </w:r>
      </w:hyperlink>
    </w:p>
    <w:p w14:paraId="15C87CEE"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Bài báo tập trung phân tích ảnh hưởng của thuật toán tối ưu hóa SGD với Adaptive Momentum (Adam) lên hiệu suất huấn luyện mô hình nhận dạng đơn thuốc viết tay. Tác giả so sánh nhiều kiến trúc deep learning kết hợp các chiến lược learning rate khác nhau trên cùng tập dữ liệu đơn thuốc, cung cấp số liệu benchmark chi tiết về tốc độ hội tụ và độ chính xác cuối cùng.</w:t>
      </w:r>
    </w:p>
    <w:p w14:paraId="476D703B"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Dù không đề xuất kiến trúc mô hình mới, paper này có giá trị thực tiễn cao vì cung cấp hướng dẫn chọn lựa siêu tham số huấn luyện có cơ sở thực nghiệm. Kết quả cho thấy Adam vượt trội SGD truyền thống với tốc độ hội tụ nhanh hơn và kết quả ổn định hơn trên dữ liệu đơn thuốc. Nhóm phát triển MediScan AI có thể áp dụng trực tiếp các khuyến nghị về learning rate schedule và batch size vào quá trình fine-tune mô hình OCR.</w:t>
      </w:r>
    </w:p>
    <w:p w14:paraId="4C7762FF" w14:textId="77777777" w:rsidR="00B80C2C" w:rsidRDefault="00B80C2C" w:rsidP="00B80C2C">
      <w:pPr>
        <w:spacing w:before="200" w:line="360" w:lineRule="auto"/>
        <w:jc w:val="both"/>
      </w:pPr>
    </w:p>
    <w:p w14:paraId="1B1DA921"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lastRenderedPageBreak/>
        <w:t>6. Drug-Drug Interaction Prediction on a Biomedical Literature Knowledge Graph</w:t>
      </w:r>
    </w:p>
    <w:p w14:paraId="5BEE1E52"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Bougiatiotis, K., Aisopos, F., Nentidis, A., Krithara, A., Paliouras, G. (2020)</w:t>
      </w:r>
    </w:p>
    <w:p w14:paraId="590E06A1"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Artificial Intelligence in Medicine. AIME 2020. LNCS, Vol. 12299. Springer, Cham.</w:t>
      </w:r>
    </w:p>
    <w:p w14:paraId="0A213C56"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15" w:history="1">
        <w:r>
          <w:rPr>
            <w:rFonts w:ascii="Times New Roman" w:eastAsia="Times New Roman" w:hAnsi="Times New Roman" w:cs="Times New Roman"/>
            <w:color w:val="0563C1"/>
            <w:sz w:val="24"/>
            <w:szCs w:val="24"/>
            <w:u w:val="single"/>
          </w:rPr>
          <w:t>https://link.springer.com/chapter/10.1007/978-3-030-59137-3_12</w:t>
        </w:r>
      </w:hyperlink>
    </w:p>
    <w:p w14:paraId="38146DA9"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16" w:history="1">
        <w:r>
          <w:rPr>
            <w:rFonts w:ascii="Times New Roman" w:eastAsia="Times New Roman" w:hAnsi="Times New Roman" w:cs="Times New Roman"/>
            <w:color w:val="0563C1"/>
            <w:sz w:val="24"/>
            <w:szCs w:val="24"/>
            <w:u w:val="single"/>
          </w:rPr>
          <w:t>https://doi.org/10.1007/978-3-030-59137-3_12</w:t>
        </w:r>
      </w:hyperlink>
    </w:p>
    <w:p w14:paraId="02BFABA3"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Nghiên cứu đề xuất xây dựng Knowledge Graph (KG) từ tài liệu y văn bệnh cụ thể (Alzheimer và Ung thư phổi), sau đó huấn luyện bộ phân loại phát hiện các cặp thuốc tương tác mới trên đồ thị đó. Phương pháp sử dụng DrugBank làm chuẩn vàng xác nhận và được đánh giá thông qua cross-validation. Hệ thống xác nhận được nhiều DDI mới chưa có trong cơ sở dữ liệu bằng phương pháp hồi cứu.</w:t>
      </w:r>
    </w:p>
    <w:p w14:paraId="0E284B62"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Đây là một trong những nghiên cứu đặt nền móng cho hướng tiếp cận DDI qua Knowledge Graph. Điểm sáng tạo là khai thác y văn để làm giàu KG thay vì chỉ dựa vào dữ liệu có cấu trúc. Hạn chế là KG phụ thuộc phạm vi tài liệu thu thập được, và cần cập nhật liên tục. Với MediScan AI, đây là cơ sở lý thuyết trực tiếp cho module Knowledge Engine sử dụng Neo4j: cách xây dựng quan hệ giữa các node thuốc và cách huấn luyện classifier trên đồ thị.</w:t>
      </w:r>
    </w:p>
    <w:p w14:paraId="3AE0A6CD" w14:textId="77777777" w:rsidR="00B80C2C" w:rsidRDefault="00B80C2C" w:rsidP="00B80C2C">
      <w:pPr>
        <w:spacing w:before="200" w:line="360" w:lineRule="auto"/>
        <w:jc w:val="both"/>
      </w:pPr>
    </w:p>
    <w:p w14:paraId="576BD9CB"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7. Machine Learning-Based Prediction for Drug-Drug Interaction Using a Knowledge Graph (NGMG)</w:t>
      </w:r>
    </w:p>
    <w:p w14:paraId="5F8F19FC"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Taheri, G., Habibi, M., Sedghamiz, T. (2024)</w:t>
      </w:r>
    </w:p>
    <w:p w14:paraId="0FE4BF34"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ECML PKDD 2024. Communications in Computer and Information Science, Vol. 2560. Springer, Cham.</w:t>
      </w:r>
    </w:p>
    <w:p w14:paraId="5587DB85"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17" w:history="1">
        <w:r>
          <w:rPr>
            <w:rFonts w:ascii="Times New Roman" w:eastAsia="Times New Roman" w:hAnsi="Times New Roman" w:cs="Times New Roman"/>
            <w:color w:val="0563C1"/>
            <w:sz w:val="24"/>
            <w:szCs w:val="24"/>
            <w:u w:val="single"/>
          </w:rPr>
          <w:t>https://link.springer.com/chapter/10.1007/978-3-032-25311-8_29</w:t>
        </w:r>
      </w:hyperlink>
    </w:p>
    <w:p w14:paraId="57FD6EE8"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18" w:history="1">
        <w:r>
          <w:rPr>
            <w:rFonts w:ascii="Times New Roman" w:eastAsia="Times New Roman" w:hAnsi="Times New Roman" w:cs="Times New Roman"/>
            <w:color w:val="0563C1"/>
            <w:sz w:val="24"/>
            <w:szCs w:val="24"/>
            <w:u w:val="single"/>
          </w:rPr>
          <w:t>https://doi.org/10.1007/978-3-032-25311-8_29</w:t>
        </w:r>
      </w:hyperlink>
    </w:p>
    <w:p w14:paraId="3094A235"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Bài báo giới thiệu phương pháp NGMG kết hợp Knowledge Graph với đặc trưng hóa học và topo của mạng DDI để dự đoán tương tác. Điểm nổi bật là giải quyết được vấn đề cold-start: dự đoán DDI cho thuốc mới chưa có kết nối trong mạng lưới hiện tại. Mô hình cũng đưa ra giải thích về cơ chế DDI, không chỉ dừng ở kết quả dự đoán nhị phân.</w:t>
      </w:r>
    </w:p>
    <w:p w14:paraId="511FA29F"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lastRenderedPageBreak/>
        <w:t xml:space="preserve">Nhận xét: </w:t>
      </w:r>
      <w:r>
        <w:rPr>
          <w:rFonts w:ascii="Times New Roman" w:eastAsia="Times New Roman" w:hAnsi="Times New Roman" w:cs="Times New Roman"/>
          <w:color w:val="000000"/>
          <w:sz w:val="24"/>
          <w:szCs w:val="24"/>
        </w:rPr>
        <w:t>NGMG giải quyết đúng vấn đề thực tế mà nhiều hệ thống DDI bỏ qua: thuốc mới ra thị trường chưa có đủ dữ liệu tương tác. Tích hợp giải thích cơ chế dược lý cũng rất quan trọng trong môi trường lâm sàng, nơi bác sĩ cần hiểu lý do cảnh báo chứ không chỉ nhận cảnh báo. Đây là hướng phát triển tiếp theo cần xem xét sau khi MediScan AI hoàn thiện giai đoạn DDI Graph cơ bản.</w:t>
      </w:r>
    </w:p>
    <w:p w14:paraId="45AE7FA9" w14:textId="77777777" w:rsidR="00B80C2C" w:rsidRDefault="00B80C2C" w:rsidP="00B80C2C">
      <w:pPr>
        <w:spacing w:before="200" w:line="360" w:lineRule="auto"/>
        <w:jc w:val="both"/>
      </w:pPr>
    </w:p>
    <w:p w14:paraId="52643E53"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8. GraphDDI: Graph Neural Network for Prediction of Drug-Drug Interaction</w:t>
      </w:r>
    </w:p>
    <w:p w14:paraId="6AB7DE60"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Devalab Research Group (2024)</w:t>
      </w:r>
    </w:p>
    <w:p w14:paraId="2ADAFC1E"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LNCS, Vol. 15369. Springer, Cham.</w:t>
      </w:r>
    </w:p>
    <w:p w14:paraId="2E06CC50"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19" w:history="1">
        <w:r>
          <w:rPr>
            <w:rFonts w:ascii="Times New Roman" w:eastAsia="Times New Roman" w:hAnsi="Times New Roman" w:cs="Times New Roman"/>
            <w:color w:val="0563C1"/>
            <w:sz w:val="24"/>
            <w:szCs w:val="24"/>
            <w:u w:val="single"/>
          </w:rPr>
          <w:t>https://link.springer.com/chapter/10.1007/978-3-031-67278-1_2</w:t>
        </w:r>
      </w:hyperlink>
    </w:p>
    <w:p w14:paraId="55D8E27E"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20" w:history="1">
        <w:r>
          <w:rPr>
            <w:rFonts w:ascii="Times New Roman" w:eastAsia="Times New Roman" w:hAnsi="Times New Roman" w:cs="Times New Roman"/>
            <w:color w:val="0563C1"/>
            <w:sz w:val="24"/>
            <w:szCs w:val="24"/>
            <w:u w:val="single"/>
          </w:rPr>
          <w:t>https://doi.org/10.1007/978-3-031-67278-1_2</w:t>
        </w:r>
      </w:hyperlink>
    </w:p>
    <w:p w14:paraId="7C75D5E9"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GraphDDI là mô hình GNN ba giai đoạn: (1) trích xuất đặc trưng nguyên tử từ cấu trúc phân tử hai thuốc, (2) tính ma trận tương tác giữa các cặp nguyên tử, (3) kết hợp đặc trưng và dự đoán DDI qua feed-forward network. Mô hình đạt F1 = 0.98 cho bài toán phát hiện DDI và F1 = 0.90 cho phân loại loại tương tác. Mã nguồn được công bố trên GitHub.</w:t>
      </w:r>
    </w:p>
    <w:p w14:paraId="4F9C3930"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Kết quả F1 = 0.98 là mức hiệu suất rất ấn tượng, đặc biệt khi mô hình còn phân loại được loại DDI cụ thể chứ không chỉ phát hiện sự tồn tại. Khả năng phân loại đa lớp (không chỉ có/không có tương tác) rất phù hợp với thiết kế cảnh báo 3 cấp độ của MediScan AI. Hạn chế chính là yêu cầu dữ liệu cấu trúc phân tử dạng đồ thị nguyên tử, cần pipeline tiền xử lý phức tạp khi tích hợp với hệ thống thực tế.</w:t>
      </w:r>
    </w:p>
    <w:p w14:paraId="374AD5B5" w14:textId="77777777" w:rsidR="00B80C2C" w:rsidRDefault="00B80C2C" w:rsidP="00B80C2C">
      <w:pPr>
        <w:spacing w:before="200" w:line="360" w:lineRule="auto"/>
        <w:jc w:val="both"/>
      </w:pPr>
    </w:p>
    <w:p w14:paraId="4CF5507A"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9. Named Entity Recognition of Chinese Electronic Medical Records Based on Hybrid Neural Network and Medical MC-BERT</w:t>
      </w:r>
    </w:p>
    <w:p w14:paraId="7A1D3C59"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Ke, J., Wang, W., Chen, X., et al. (2022)</w:t>
      </w:r>
    </w:p>
    <w:p w14:paraId="4EA10EFA"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BMC Medical Informatics and Decision Making. Springer Nature.</w:t>
      </w:r>
    </w:p>
    <w:p w14:paraId="13C87533"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21" w:history="1">
        <w:r>
          <w:rPr>
            <w:rFonts w:ascii="Times New Roman" w:eastAsia="Times New Roman" w:hAnsi="Times New Roman" w:cs="Times New Roman"/>
            <w:color w:val="0563C1"/>
            <w:sz w:val="24"/>
            <w:szCs w:val="24"/>
            <w:u w:val="single"/>
          </w:rPr>
          <w:t>https://link.springer.com/article/10.1186/s12911-022-02059-2</w:t>
        </w:r>
      </w:hyperlink>
    </w:p>
    <w:p w14:paraId="0C44D9FB"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22" w:history="1">
        <w:r>
          <w:rPr>
            <w:rFonts w:ascii="Times New Roman" w:eastAsia="Times New Roman" w:hAnsi="Times New Roman" w:cs="Times New Roman"/>
            <w:color w:val="0563C1"/>
            <w:sz w:val="24"/>
            <w:szCs w:val="24"/>
            <w:u w:val="single"/>
          </w:rPr>
          <w:t>https://doi.org/10.1186/s12911-022-02059-2</w:t>
        </w:r>
      </w:hyperlink>
    </w:p>
    <w:p w14:paraId="486B2B5B"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lastRenderedPageBreak/>
        <w:t xml:space="preserve">Tóm tắt: </w:t>
      </w:r>
      <w:r>
        <w:rPr>
          <w:rFonts w:ascii="Times New Roman" w:eastAsia="Times New Roman" w:hAnsi="Times New Roman" w:cs="Times New Roman"/>
          <w:color w:val="000000"/>
          <w:sz w:val="24"/>
          <w:szCs w:val="24"/>
        </w:rPr>
        <w:t>Nghiên cứu đề xuất kiến trúc kết hợp mô hình tiền huấn luyện MC-BERT (BERT chuyên ngành y tế tiếng Trung) với BiLSTM-CRF để nhận dạng thực thể y tế từ hồ sơ bệnh án điện tử. MC-BERT được pre-train trên corpus y tế chuyên ngành, giúp biểu diễn ngữ nghĩa tốt hơn BERT tổng quát. Kết quả cho thấy F1-score cải thiện đáng kể so với các baseline dùng BERT thông thường.</w:t>
      </w:r>
    </w:p>
    <w:p w14:paraId="526B0C3D"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Nghiên cứu xác nhận một nguyên tắc quan trọng: BERT được pre-train trên dữ liệu chuyên ngành cho kết quả tốt hơn hẳn BERT tổng quát với văn bản lâm sàng. Điều này có hàm ý trực tiếp với MediScan AI: cần ưu tiên sử dụng PhoBERT hoặc mô hình BERT tiếng Việt chuyên y tế (nếu có) cho NER pipeline thay vì dùng BERT thông thường. Khoảng trống là chưa có mô hình BERT y tế tiếng Việt tương đương MC-BERT, đây là hướng đóng góp mà nhóm có thể xem xét về dài hạn.</w:t>
      </w:r>
    </w:p>
    <w:p w14:paraId="6FC15341" w14:textId="77777777" w:rsidR="00B80C2C" w:rsidRDefault="00B80C2C" w:rsidP="00B80C2C">
      <w:pPr>
        <w:spacing w:before="200" w:line="360" w:lineRule="auto"/>
        <w:jc w:val="both"/>
      </w:pPr>
    </w:p>
    <w:p w14:paraId="66A3CF4F" w14:textId="77777777" w:rsidR="00B80C2C" w:rsidRDefault="00B80C2C" w:rsidP="00B80C2C">
      <w:pPr>
        <w:spacing w:before="240" w:after="60" w:line="360" w:lineRule="auto"/>
        <w:jc w:val="both"/>
      </w:pPr>
      <w:r>
        <w:rPr>
          <w:rFonts w:ascii="Times New Roman" w:eastAsia="Times New Roman" w:hAnsi="Times New Roman" w:cs="Times New Roman"/>
          <w:b/>
          <w:bCs/>
          <w:color w:val="000000"/>
          <w:sz w:val="24"/>
          <w:szCs w:val="24"/>
        </w:rPr>
        <w:t>10. A Hybrid Approach for Named Entity Recognition in Chinese Electronic Medical Record</w:t>
      </w:r>
    </w:p>
    <w:p w14:paraId="3554FCB7" w14:textId="77777777" w:rsidR="00B80C2C" w:rsidRDefault="00B80C2C" w:rsidP="00B80C2C">
      <w:pPr>
        <w:spacing w:before="60" w:after="40" w:line="360" w:lineRule="auto"/>
        <w:jc w:val="both"/>
      </w:pPr>
      <w:r>
        <w:rPr>
          <w:rFonts w:ascii="Times New Roman" w:eastAsia="Times New Roman" w:hAnsi="Times New Roman" w:cs="Times New Roman"/>
          <w:b/>
          <w:bCs/>
          <w:color w:val="000000"/>
          <w:sz w:val="24"/>
          <w:szCs w:val="24"/>
        </w:rPr>
        <w:t xml:space="preserve">Tác giả: </w:t>
      </w:r>
      <w:r>
        <w:rPr>
          <w:rFonts w:ascii="Times New Roman" w:eastAsia="Times New Roman" w:hAnsi="Times New Roman" w:cs="Times New Roman"/>
          <w:color w:val="000000"/>
          <w:sz w:val="24"/>
          <w:szCs w:val="24"/>
        </w:rPr>
        <w:t>Li, Z., Liu, P., et al. (2019)</w:t>
      </w:r>
    </w:p>
    <w:p w14:paraId="186FCB5B"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Nguồn: </w:t>
      </w:r>
      <w:r>
        <w:rPr>
          <w:rFonts w:ascii="Times New Roman" w:eastAsia="Times New Roman" w:hAnsi="Times New Roman" w:cs="Times New Roman"/>
          <w:i/>
          <w:iCs/>
          <w:color w:val="000000"/>
          <w:sz w:val="24"/>
          <w:szCs w:val="24"/>
        </w:rPr>
        <w:t>BMC Medical Informatics and Decision Making. Springer Nature.</w:t>
      </w:r>
    </w:p>
    <w:p w14:paraId="13D9117E" w14:textId="77777777" w:rsidR="00B80C2C" w:rsidRDefault="00B80C2C" w:rsidP="00B80C2C">
      <w:pPr>
        <w:spacing w:before="40" w:after="40" w:line="360" w:lineRule="auto"/>
        <w:jc w:val="both"/>
      </w:pPr>
      <w:r>
        <w:rPr>
          <w:rFonts w:ascii="Times New Roman" w:eastAsia="Times New Roman" w:hAnsi="Times New Roman" w:cs="Times New Roman"/>
          <w:b/>
          <w:bCs/>
          <w:color w:val="000000"/>
          <w:sz w:val="24"/>
          <w:szCs w:val="24"/>
        </w:rPr>
        <w:t xml:space="preserve">Link: </w:t>
      </w:r>
      <w:hyperlink r:id="rId23" w:history="1">
        <w:r>
          <w:rPr>
            <w:rFonts w:ascii="Times New Roman" w:eastAsia="Times New Roman" w:hAnsi="Times New Roman" w:cs="Times New Roman"/>
            <w:color w:val="0563C1"/>
            <w:sz w:val="24"/>
            <w:szCs w:val="24"/>
            <w:u w:val="single"/>
          </w:rPr>
          <w:t>https://link.springer.com/article/10.1186/s12911-019-0767-2</w:t>
        </w:r>
      </w:hyperlink>
    </w:p>
    <w:p w14:paraId="0980C16E" w14:textId="77777777" w:rsidR="00B80C2C" w:rsidRDefault="00B80C2C" w:rsidP="00B80C2C">
      <w:pPr>
        <w:spacing w:before="40" w:after="100" w:line="360" w:lineRule="auto"/>
        <w:jc w:val="both"/>
      </w:pPr>
      <w:r>
        <w:rPr>
          <w:rFonts w:ascii="Times New Roman" w:eastAsia="Times New Roman" w:hAnsi="Times New Roman" w:cs="Times New Roman"/>
          <w:b/>
          <w:bCs/>
          <w:color w:val="000000"/>
          <w:sz w:val="24"/>
          <w:szCs w:val="24"/>
        </w:rPr>
        <w:t xml:space="preserve">DOI: </w:t>
      </w:r>
      <w:hyperlink r:id="rId24" w:history="1">
        <w:r>
          <w:rPr>
            <w:rFonts w:ascii="Times New Roman" w:eastAsia="Times New Roman" w:hAnsi="Times New Roman" w:cs="Times New Roman"/>
            <w:color w:val="0563C1"/>
            <w:sz w:val="24"/>
            <w:szCs w:val="24"/>
            <w:u w:val="single"/>
          </w:rPr>
          <w:t>https://doi.org/10.1186/s12911-019-0767-2</w:t>
        </w:r>
      </w:hyperlink>
    </w:p>
    <w:p w14:paraId="2B894459"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Tóm tắt: </w:t>
      </w:r>
      <w:r>
        <w:rPr>
          <w:rFonts w:ascii="Times New Roman" w:eastAsia="Times New Roman" w:hAnsi="Times New Roman" w:cs="Times New Roman"/>
          <w:color w:val="000000"/>
          <w:sz w:val="24"/>
          <w:szCs w:val="24"/>
        </w:rPr>
        <w:t>Bài báo trình bày mô hình Attention-BiLSTM-CRF cho NER trên hồ sơ bệnh án điện tử tiếng Trung. Cơ chế Attention được thêm vào giữa BiLSTM và CRF nhằm tận dụng ngữ cảnh toàn câu, giảm lỗi gán nhãn không nhất quán trong văn bản dài. Ngoài ra, tác giả đề xuất thuật toán entity auto-correct: tự động sửa thực thể dựa trên lịch sử thực thể đã nhận dạng trong tài liệu.</w:t>
      </w:r>
    </w:p>
    <w:p w14:paraId="4C0FC453"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Nhận xét: </w:t>
      </w:r>
      <w:r>
        <w:rPr>
          <w:rFonts w:ascii="Times New Roman" w:eastAsia="Times New Roman" w:hAnsi="Times New Roman" w:cs="Times New Roman"/>
          <w:color w:val="000000"/>
          <w:sz w:val="24"/>
          <w:szCs w:val="24"/>
        </w:rPr>
        <w:t>Đây là paper nền tảng đặt ra cách tiếp cận hybrid cho NER y tế trước kỷ nguyên BERT. Mô hình Attention-BiLSTM-CRF nhẹ hơn Transformer nhiều, phù hợp triển khai trên server không có GPU mạnh. Ý tưởng entity auto-correct rất thực tiễn và ít được các nghiên cứu sau đề cập lại. Với MediScan AI, đây là lựa chọn kiến trúc tốt cho giai đoạn MVP khi chưa đủ dữ liệu để fine-tune BERT lớn, đồng thời thuật toán auto-correct có thể áp dụng ngay cho tên thuốc tiếng Việt.</w:t>
      </w:r>
    </w:p>
    <w:p w14:paraId="13EB949F" w14:textId="77777777" w:rsidR="00B80C2C" w:rsidRDefault="00B80C2C" w:rsidP="00B80C2C">
      <w:r>
        <w:br w:type="page"/>
      </w:r>
    </w:p>
    <w:p w14:paraId="4FB163E3" w14:textId="77777777" w:rsidR="00B80C2C" w:rsidRDefault="00B80C2C" w:rsidP="00B80C2C">
      <w:pPr>
        <w:spacing w:before="240" w:after="120"/>
      </w:pPr>
      <w:r>
        <w:rPr>
          <w:rFonts w:ascii="Times New Roman" w:eastAsia="Times New Roman" w:hAnsi="Times New Roman" w:cs="Times New Roman"/>
          <w:b/>
          <w:bCs/>
          <w:color w:val="000000"/>
          <w:sz w:val="28"/>
          <w:szCs w:val="28"/>
        </w:rPr>
        <w:lastRenderedPageBreak/>
        <w:t>III. NHẬN ĐỊNH CHUNG</w:t>
      </w:r>
    </w:p>
    <w:p w14:paraId="6351EA48" w14:textId="77777777" w:rsidR="00B80C2C" w:rsidRDefault="00B80C2C" w:rsidP="00B80C2C">
      <w:pPr>
        <w:spacing w:before="80" w:after="80" w:line="360" w:lineRule="auto"/>
        <w:jc w:val="both"/>
      </w:pPr>
      <w:r>
        <w:rPr>
          <w:rFonts w:ascii="Times New Roman" w:eastAsia="Times New Roman" w:hAnsi="Times New Roman" w:cs="Times New Roman"/>
          <w:color w:val="000000"/>
          <w:sz w:val="24"/>
          <w:szCs w:val="24"/>
        </w:rPr>
        <w:t>Qua 10 bài báo khảo sát, nhóm rút ra một số nhận định như sau:</w:t>
      </w:r>
    </w:p>
    <w:p w14:paraId="5895BECC"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Về OCR nhận dạng đơn thuốc: </w:t>
      </w:r>
      <w:r>
        <w:rPr>
          <w:rFonts w:ascii="Times New Roman" w:eastAsia="Times New Roman" w:hAnsi="Times New Roman" w:cs="Times New Roman"/>
          <w:color w:val="000000"/>
          <w:sz w:val="24"/>
          <w:szCs w:val="24"/>
        </w:rPr>
        <w:t>Xu hướng chung là dịch chuyển từ CNN đơn thuần sang các kiến trúc tuần tự (CRNN, Transformer). Hầu hết các nghiên cứu đều gặp khó khăn về dữ liệu: thiếu tập đơn thuốc chuẩn hóa, thiếu đa dạng về phong cách chữ và ngôn ngữ. Đây vừa là thách thức vừa là khoảng trống để MediScan AI đóng góp nếu xây dựng được dataset đơn thuốc tiếng Việt.</w:t>
      </w:r>
    </w:p>
    <w:p w14:paraId="03C56E81"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Về phát hiện tương tác thuốc: </w:t>
      </w:r>
      <w:r>
        <w:rPr>
          <w:rFonts w:ascii="Times New Roman" w:eastAsia="Times New Roman" w:hAnsi="Times New Roman" w:cs="Times New Roman"/>
          <w:color w:val="000000"/>
          <w:sz w:val="24"/>
          <w:szCs w:val="24"/>
        </w:rPr>
        <w:t>Knowledge Graph và Graph Neural Network là hướng tiếp cận chiếm ưu thế rõ ràng, với hiệu suất cao hơn hẳn các phương pháp truyền thống. Điều này xác nhận việc MediScan AI chọn Neo4j để lưu trữ đồ thị tương tác thuốc là phù hợp với xu hướng nghiên cứu hiện tại. Đặc biệt, khả năng phân loại loại tương tác (không chỉ có/không có) rất phù hợp với thiết kế cảnh báo 3 cấp độ.</w:t>
      </w:r>
    </w:p>
    <w:p w14:paraId="482D0EE6"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Về NER y tế: </w:t>
      </w:r>
      <w:r>
        <w:rPr>
          <w:rFonts w:ascii="Times New Roman" w:eastAsia="Times New Roman" w:hAnsi="Times New Roman" w:cs="Times New Roman"/>
          <w:color w:val="000000"/>
          <w:sz w:val="24"/>
          <w:szCs w:val="24"/>
        </w:rPr>
        <w:t>Domain-specific BERT vượt trội BERT tổng quát là kết luận nhất quán trong cả hai bài NER. Với tiếng Việt, nhóm nên ưu tiên PhoBERT hoặc tìm kiếm mô hình BERT y tế tiếng Việt nếu có. Kiến trúc BiLSTM-CRF vẫn là lựa chọn thực tiễn cho giai đoạn đầu khi chưa đủ dữ liệu fine-tune mô hình lớn.</w:t>
      </w:r>
    </w:p>
    <w:p w14:paraId="03A164B3" w14:textId="77777777" w:rsidR="00B80C2C" w:rsidRDefault="00B80C2C" w:rsidP="00B80C2C">
      <w:pPr>
        <w:spacing w:before="80" w:after="80" w:line="360" w:lineRule="auto"/>
        <w:jc w:val="both"/>
      </w:pPr>
      <w:r>
        <w:rPr>
          <w:rFonts w:ascii="Times New Roman" w:eastAsia="Times New Roman" w:hAnsi="Times New Roman" w:cs="Times New Roman"/>
          <w:b/>
          <w:bCs/>
          <w:color w:val="000000"/>
          <w:sz w:val="24"/>
          <w:szCs w:val="24"/>
        </w:rPr>
        <w:t xml:space="preserve">Khoảng trống nghiên cứu: </w:t>
      </w:r>
      <w:r>
        <w:rPr>
          <w:rFonts w:ascii="Times New Roman" w:eastAsia="Times New Roman" w:hAnsi="Times New Roman" w:cs="Times New Roman"/>
          <w:color w:val="000000"/>
          <w:sz w:val="24"/>
          <w:szCs w:val="24"/>
        </w:rPr>
        <w:t>Không có bài nào trong số 10 bài nghiên cứu hệ thống tích hợp đầy đủ OCR + NER + DDI trong một pipeline hoàn chỉnh phục vụ bệnh nhân cuối. MediScan AI đang xây dựng chính xác điều này, đây là điểm khác biệt và đóng góp rõ ràng so với các công trình hiện có.</w:t>
      </w:r>
    </w:p>
    <w:p w14:paraId="61A0E404" w14:textId="77777777" w:rsidR="00B80C2C" w:rsidRDefault="00B80C2C" w:rsidP="00B80C2C">
      <w:pPr>
        <w:spacing w:before="80" w:after="80" w:line="360" w:lineRule="auto"/>
        <w:jc w:val="both"/>
      </w:pPr>
    </w:p>
    <w:p w14:paraId="7458681C" w14:textId="77777777" w:rsidR="00B80C2C" w:rsidRDefault="00B80C2C" w:rsidP="00B80C2C">
      <w:r>
        <w:br w:type="page"/>
      </w:r>
    </w:p>
    <w:p w14:paraId="7E9EE145" w14:textId="77777777" w:rsidR="00B80C2C" w:rsidRDefault="00B80C2C" w:rsidP="00B80C2C">
      <w:pPr>
        <w:spacing w:before="240" w:after="120"/>
      </w:pPr>
      <w:r>
        <w:rPr>
          <w:rFonts w:ascii="Times New Roman" w:eastAsia="Times New Roman" w:hAnsi="Times New Roman" w:cs="Times New Roman"/>
          <w:b/>
          <w:bCs/>
          <w:color w:val="000000"/>
          <w:sz w:val="28"/>
          <w:szCs w:val="28"/>
        </w:rPr>
        <w:lastRenderedPageBreak/>
        <w:t>TÀI LIỆU THAM KHẢO</w:t>
      </w:r>
    </w:p>
    <w:p w14:paraId="303511DF" w14:textId="77777777" w:rsidR="00B80C2C" w:rsidRDefault="00B80C2C" w:rsidP="00B80C2C">
      <w:pPr>
        <w:pStyle w:val="ListParagraph"/>
        <w:numPr>
          <w:ilvl w:val="0"/>
          <w:numId w:val="3"/>
        </w:numPr>
        <w:spacing w:before="80" w:after="80" w:line="340" w:lineRule="auto"/>
      </w:pPr>
      <w:r>
        <w:t xml:space="preserve">Sethi, P.S., Gupta, M., Kumar, P., Kaur, G. (2023). "Simplifying Handwritten Medical Prescription: OCR Approach". </w:t>
      </w:r>
      <w:r>
        <w:rPr>
          <w:i/>
          <w:iCs/>
        </w:rPr>
        <w:t xml:space="preserve">Lecture Notes in Networks and Systems, Vol. 666. Springer, Singapore. </w:t>
      </w:r>
      <w:hyperlink r:id="rId25" w:history="1">
        <w:r>
          <w:rPr>
            <w:color w:val="0563C1"/>
            <w:u w:val="single"/>
          </w:rPr>
          <w:t>https://doi.org/10.1007/978-981-99-1620-7_4</w:t>
        </w:r>
      </w:hyperlink>
    </w:p>
    <w:p w14:paraId="7EFB70F3" w14:textId="77777777" w:rsidR="00B80C2C" w:rsidRDefault="00B80C2C" w:rsidP="00B80C2C">
      <w:pPr>
        <w:pStyle w:val="ListParagraph"/>
        <w:numPr>
          <w:ilvl w:val="0"/>
          <w:numId w:val="3"/>
        </w:numPr>
        <w:spacing w:before="80" w:after="80" w:line="340" w:lineRule="auto"/>
      </w:pPr>
      <w:r>
        <w:t xml:space="preserve">Pavithiran, G., Padmanabhan, S., et al. (2024). "Doctor's Handwritten Prescription Recognition System Using Machine Learning". </w:t>
      </w:r>
      <w:r>
        <w:rPr>
          <w:i/>
          <w:iCs/>
        </w:rPr>
        <w:t xml:space="preserve">Lecture Notes in Networks and Systems, Vol. 1078. Springer, Singapore. </w:t>
      </w:r>
      <w:hyperlink r:id="rId26" w:history="1">
        <w:r>
          <w:rPr>
            <w:color w:val="0563C1"/>
            <w:u w:val="single"/>
          </w:rPr>
          <w:t>https://doi.org/10.1007/978-981-96-3797-3_5</w:t>
        </w:r>
      </w:hyperlink>
    </w:p>
    <w:p w14:paraId="0F290B6C" w14:textId="77777777" w:rsidR="00B80C2C" w:rsidRDefault="00B80C2C" w:rsidP="00B80C2C">
      <w:pPr>
        <w:pStyle w:val="ListParagraph"/>
        <w:numPr>
          <w:ilvl w:val="0"/>
          <w:numId w:val="3"/>
        </w:numPr>
        <w:spacing w:before="80" w:after="80" w:line="340" w:lineRule="auto"/>
      </w:pPr>
      <w:r>
        <w:t xml:space="preserve">Vidhya, S., Yukendhira, M., Sidharth, K. (2024). "MediScan Handwritten Prescription Translator Using Deep Learning". </w:t>
      </w:r>
      <w:r>
        <w:rPr>
          <w:i/>
          <w:iCs/>
        </w:rPr>
        <w:t xml:space="preserve">Lecture Notes in Networks and Systems, Vol. 1057. Springer, Cham. </w:t>
      </w:r>
      <w:hyperlink r:id="rId27" w:history="1">
        <w:r>
          <w:rPr>
            <w:color w:val="0563C1"/>
            <w:u w:val="single"/>
          </w:rPr>
          <w:t>https://doi.org/10.1007/978-3-031-69201-7_15</w:t>
        </w:r>
      </w:hyperlink>
    </w:p>
    <w:p w14:paraId="34A7EC5A" w14:textId="77777777" w:rsidR="00B80C2C" w:rsidRDefault="00B80C2C" w:rsidP="00B80C2C">
      <w:pPr>
        <w:pStyle w:val="ListParagraph"/>
        <w:numPr>
          <w:ilvl w:val="0"/>
          <w:numId w:val="3"/>
        </w:numPr>
        <w:spacing w:before="80" w:after="80" w:line="340" w:lineRule="auto"/>
      </w:pPr>
      <w:r>
        <w:t xml:space="preserve">Kokatnoor, A.Y., et al. (2025). "Disease Identification from Illegible Medical Prescriptions Using OCR and NLP Techniques". </w:t>
      </w:r>
      <w:r>
        <w:rPr>
          <w:i/>
          <w:iCs/>
        </w:rPr>
        <w:t xml:space="preserve">Lecture Notes in Networks and Systems, Vol. 1298. Springer, Singapore. </w:t>
      </w:r>
      <w:hyperlink r:id="rId28" w:history="1">
        <w:r>
          <w:rPr>
            <w:color w:val="0563C1"/>
            <w:u w:val="single"/>
          </w:rPr>
          <w:t>https://doi.org/10.1007/978-981-96-9724-3_40</w:t>
        </w:r>
      </w:hyperlink>
    </w:p>
    <w:p w14:paraId="2923026D" w14:textId="77777777" w:rsidR="00B80C2C" w:rsidRDefault="00B80C2C" w:rsidP="00B80C2C">
      <w:pPr>
        <w:pStyle w:val="ListParagraph"/>
        <w:numPr>
          <w:ilvl w:val="0"/>
          <w:numId w:val="3"/>
        </w:numPr>
        <w:spacing w:before="80" w:after="80" w:line="340" w:lineRule="auto"/>
      </w:pPr>
      <w:r>
        <w:t xml:space="preserve">Rani, S., Rehman, A.U., Yousaf, B., et al. (2024). "A Novel Handwritten Prescription Recognition with Stochastic Gradient Descent Using Adaptive Momentum Learning". </w:t>
      </w:r>
      <w:r>
        <w:rPr>
          <w:i/>
          <w:iCs/>
        </w:rPr>
        <w:t xml:space="preserve">Lecture Notes in Networks and Systems, Vol. 1002. Springer, Singapore. </w:t>
      </w:r>
      <w:hyperlink r:id="rId29" w:history="1">
        <w:r>
          <w:rPr>
            <w:color w:val="0563C1"/>
            <w:u w:val="single"/>
          </w:rPr>
          <w:t>https://doi.org/10.1007/978-981-97-3442-9_54</w:t>
        </w:r>
      </w:hyperlink>
    </w:p>
    <w:p w14:paraId="3F20DF3F" w14:textId="77777777" w:rsidR="00B80C2C" w:rsidRDefault="00B80C2C" w:rsidP="00B80C2C">
      <w:pPr>
        <w:pStyle w:val="ListParagraph"/>
        <w:numPr>
          <w:ilvl w:val="0"/>
          <w:numId w:val="3"/>
        </w:numPr>
        <w:spacing w:before="80" w:after="80" w:line="340" w:lineRule="auto"/>
      </w:pPr>
      <w:r>
        <w:t xml:space="preserve">Bougiatiotis, K., Aisopos, F., Nentidis, A., Krithara, A., Paliouras, G. (2020). "Drug-Drug Interaction Prediction on a Biomedical Literature Knowledge Graph". </w:t>
      </w:r>
      <w:r>
        <w:rPr>
          <w:i/>
          <w:iCs/>
        </w:rPr>
        <w:t xml:space="preserve">Artificial Intelligence in Medicine. AIME 2020. LNCS, Vol. 12299. Springer, Cham. </w:t>
      </w:r>
      <w:hyperlink r:id="rId30" w:history="1">
        <w:r>
          <w:rPr>
            <w:color w:val="0563C1"/>
            <w:u w:val="single"/>
          </w:rPr>
          <w:t>https://doi.org/10.1007/978-3-030-59137-3_12</w:t>
        </w:r>
      </w:hyperlink>
    </w:p>
    <w:p w14:paraId="6B2150F2" w14:textId="77777777" w:rsidR="00B80C2C" w:rsidRDefault="00B80C2C" w:rsidP="00B80C2C">
      <w:pPr>
        <w:pStyle w:val="ListParagraph"/>
        <w:numPr>
          <w:ilvl w:val="0"/>
          <w:numId w:val="3"/>
        </w:numPr>
        <w:spacing w:before="80" w:after="80" w:line="340" w:lineRule="auto"/>
      </w:pPr>
      <w:r>
        <w:t xml:space="preserve">Taheri, G., Habibi, M., Sedghamiz, T. (2024). "Machine Learning-Based Prediction for Drug-Drug Interaction Using a Knowledge Graph (NGMG)". </w:t>
      </w:r>
      <w:r>
        <w:rPr>
          <w:i/>
          <w:iCs/>
        </w:rPr>
        <w:t xml:space="preserve">ECML PKDD 2024. Communications in Computer and Information Science, Vol. 2560. Springer, Cham. </w:t>
      </w:r>
      <w:hyperlink r:id="rId31" w:history="1">
        <w:r>
          <w:rPr>
            <w:color w:val="0563C1"/>
            <w:u w:val="single"/>
          </w:rPr>
          <w:t>https://doi.org/10.1007/978-3-032-25311-8_29</w:t>
        </w:r>
      </w:hyperlink>
    </w:p>
    <w:p w14:paraId="782B44AE" w14:textId="77777777" w:rsidR="00B80C2C" w:rsidRDefault="00B80C2C" w:rsidP="00B80C2C">
      <w:pPr>
        <w:pStyle w:val="ListParagraph"/>
        <w:numPr>
          <w:ilvl w:val="0"/>
          <w:numId w:val="3"/>
        </w:numPr>
        <w:spacing w:before="80" w:after="80" w:line="340" w:lineRule="auto"/>
      </w:pPr>
      <w:r>
        <w:t xml:space="preserve">Devalab Research Group (2024). "GraphDDI: Graph Neural Network for Prediction of Drug-Drug Interaction". </w:t>
      </w:r>
      <w:r>
        <w:rPr>
          <w:i/>
          <w:iCs/>
        </w:rPr>
        <w:t xml:space="preserve">LNCS, Vol. 15369. Springer, Cham. </w:t>
      </w:r>
      <w:hyperlink r:id="rId32" w:history="1">
        <w:r>
          <w:rPr>
            <w:color w:val="0563C1"/>
            <w:u w:val="single"/>
          </w:rPr>
          <w:t>https://doi.org/10.1007/978-3-031-67278-1_2</w:t>
        </w:r>
      </w:hyperlink>
    </w:p>
    <w:p w14:paraId="2EF6AF4A" w14:textId="77777777" w:rsidR="00B80C2C" w:rsidRDefault="00B80C2C" w:rsidP="00B80C2C">
      <w:pPr>
        <w:pStyle w:val="ListParagraph"/>
        <w:numPr>
          <w:ilvl w:val="0"/>
          <w:numId w:val="3"/>
        </w:numPr>
        <w:spacing w:before="80" w:after="80" w:line="340" w:lineRule="auto"/>
      </w:pPr>
      <w:r>
        <w:t xml:space="preserve">Ke, J., Wang, W., Chen, X., et al. (2022). "Named Entity Recognition of Chinese Electronic Medical Records Based on Hybrid Neural Network and Medical MC-BERT". </w:t>
      </w:r>
      <w:r>
        <w:rPr>
          <w:i/>
          <w:iCs/>
        </w:rPr>
        <w:lastRenderedPageBreak/>
        <w:t xml:space="preserve">BMC Medical Informatics and Decision Making. Springer Nature. </w:t>
      </w:r>
      <w:hyperlink r:id="rId33" w:history="1">
        <w:r>
          <w:rPr>
            <w:color w:val="0563C1"/>
            <w:u w:val="single"/>
          </w:rPr>
          <w:t>https://doi.org/10.1186/s12911-022-02059-2</w:t>
        </w:r>
      </w:hyperlink>
    </w:p>
    <w:p w14:paraId="48AF68E6" w14:textId="77777777" w:rsidR="00B80C2C" w:rsidRDefault="00B80C2C" w:rsidP="00B80C2C">
      <w:pPr>
        <w:pStyle w:val="ListParagraph"/>
        <w:numPr>
          <w:ilvl w:val="0"/>
          <w:numId w:val="3"/>
        </w:numPr>
        <w:spacing w:before="80" w:after="80" w:line="340" w:lineRule="auto"/>
      </w:pPr>
      <w:r>
        <w:t xml:space="preserve">Li, Z., Liu, P., et al. (2019). "A Hybrid Approach for Named Entity Recognition in Chinese Electronic Medical Record". </w:t>
      </w:r>
      <w:r>
        <w:rPr>
          <w:i/>
          <w:iCs/>
        </w:rPr>
        <w:t xml:space="preserve">BMC Medical Informatics and Decision Making. Springer Nature. </w:t>
      </w:r>
      <w:hyperlink r:id="rId34" w:history="1">
        <w:r>
          <w:rPr>
            <w:color w:val="0563C1"/>
            <w:u w:val="single"/>
          </w:rPr>
          <w:t>https://doi.org/10.1186/s12911-019-0767-2</w:t>
        </w:r>
      </w:hyperlink>
    </w:p>
    <w:p w14:paraId="6B5220FB" w14:textId="6A338681" w:rsidR="00B80C2C" w:rsidRPr="00B80C2C" w:rsidRDefault="00B80C2C" w:rsidP="00B80C2C">
      <w:pPr>
        <w:spacing w:after="480" w:line="360" w:lineRule="auto"/>
        <w:rPr>
          <w:lang w:val="vi-VN"/>
        </w:rPr>
      </w:pPr>
    </w:p>
    <w:p w14:paraId="1A111190" w14:textId="77777777" w:rsidR="00B80C2C" w:rsidRPr="00B80C2C" w:rsidRDefault="00B80C2C">
      <w:pPr>
        <w:rPr>
          <w:lang w:val="vi-VN"/>
        </w:rPr>
      </w:pPr>
    </w:p>
    <w:p w14:paraId="0FCF0B2D" w14:textId="14EC88CE" w:rsidR="00DA5EE0" w:rsidRDefault="00DA5EE0"/>
    <w:p w14:paraId="5148F6F0" w14:textId="74D6F5EC" w:rsidR="00DA5EE0" w:rsidRDefault="00827608">
      <w:pPr>
        <w:rPr>
          <w:noProof/>
        </w:rPr>
      </w:pPr>
      <w:r>
        <w:rPr>
          <w:noProof/>
        </w:rPr>
        <w:tab/>
      </w:r>
    </w:p>
    <w:p w14:paraId="75A55DA9" w14:textId="78E1F67D" w:rsidR="00AB5D13" w:rsidRDefault="00AB5D13">
      <w:pPr>
        <w:rPr>
          <w:noProof/>
        </w:rPr>
      </w:pPr>
    </w:p>
    <w:p w14:paraId="0FBA1DD0" w14:textId="72166689" w:rsidR="00AB5D13" w:rsidRDefault="00AB5D13">
      <w:pPr>
        <w:rPr>
          <w:noProof/>
        </w:rPr>
      </w:pPr>
    </w:p>
    <w:p w14:paraId="60689BE4" w14:textId="6824A08F" w:rsidR="00AB5D13" w:rsidRDefault="00AB5D13"/>
    <w:sectPr w:rsidR="00AB5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564E7B"/>
    <w:multiLevelType w:val="hybridMultilevel"/>
    <w:tmpl w:val="0406B18C"/>
    <w:lvl w:ilvl="0" w:tplc="C18245A4">
      <w:start w:val="1"/>
      <w:numFmt w:val="bullet"/>
      <w:lvlText w:val="-"/>
      <w:lvlJc w:val="left"/>
      <w:pPr>
        <w:ind w:left="720" w:hanging="360"/>
      </w:pPr>
    </w:lvl>
    <w:lvl w:ilvl="1" w:tplc="FC4A524A">
      <w:numFmt w:val="decimal"/>
      <w:lvlText w:val=""/>
      <w:lvlJc w:val="left"/>
    </w:lvl>
    <w:lvl w:ilvl="2" w:tplc="5C323F14">
      <w:numFmt w:val="decimal"/>
      <w:lvlText w:val=""/>
      <w:lvlJc w:val="left"/>
    </w:lvl>
    <w:lvl w:ilvl="3" w:tplc="3178195E">
      <w:numFmt w:val="decimal"/>
      <w:lvlText w:val=""/>
      <w:lvlJc w:val="left"/>
    </w:lvl>
    <w:lvl w:ilvl="4" w:tplc="6BFAE7DC">
      <w:numFmt w:val="decimal"/>
      <w:lvlText w:val=""/>
      <w:lvlJc w:val="left"/>
    </w:lvl>
    <w:lvl w:ilvl="5" w:tplc="79262E6C">
      <w:numFmt w:val="decimal"/>
      <w:lvlText w:val=""/>
      <w:lvlJc w:val="left"/>
    </w:lvl>
    <w:lvl w:ilvl="6" w:tplc="38B85418">
      <w:numFmt w:val="decimal"/>
      <w:lvlText w:val=""/>
      <w:lvlJc w:val="left"/>
    </w:lvl>
    <w:lvl w:ilvl="7" w:tplc="6F1C2588">
      <w:numFmt w:val="decimal"/>
      <w:lvlText w:val=""/>
      <w:lvlJc w:val="left"/>
    </w:lvl>
    <w:lvl w:ilvl="8" w:tplc="3048A666">
      <w:numFmt w:val="decimal"/>
      <w:lvlText w:val=""/>
      <w:lvlJc w:val="left"/>
    </w:lvl>
  </w:abstractNum>
  <w:abstractNum w:abstractNumId="1" w15:restartNumberingAfterBreak="0">
    <w:nsid w:val="549C1BC6"/>
    <w:multiLevelType w:val="hybridMultilevel"/>
    <w:tmpl w:val="756C39CC"/>
    <w:lvl w:ilvl="0" w:tplc="963E7110">
      <w:start w:val="1"/>
      <w:numFmt w:val="decimal"/>
      <w:lvlText w:val="[%1]"/>
      <w:lvlJc w:val="left"/>
      <w:pPr>
        <w:ind w:left="720" w:hanging="720"/>
      </w:pPr>
    </w:lvl>
    <w:lvl w:ilvl="1" w:tplc="E828078C">
      <w:numFmt w:val="decimal"/>
      <w:lvlText w:val=""/>
      <w:lvlJc w:val="left"/>
    </w:lvl>
    <w:lvl w:ilvl="2" w:tplc="C9D456AE">
      <w:numFmt w:val="decimal"/>
      <w:lvlText w:val=""/>
      <w:lvlJc w:val="left"/>
    </w:lvl>
    <w:lvl w:ilvl="3" w:tplc="E9086EC8">
      <w:numFmt w:val="decimal"/>
      <w:lvlText w:val=""/>
      <w:lvlJc w:val="left"/>
    </w:lvl>
    <w:lvl w:ilvl="4" w:tplc="596AC5C6">
      <w:numFmt w:val="decimal"/>
      <w:lvlText w:val=""/>
      <w:lvlJc w:val="left"/>
    </w:lvl>
    <w:lvl w:ilvl="5" w:tplc="CCDEEBE2">
      <w:numFmt w:val="decimal"/>
      <w:lvlText w:val=""/>
      <w:lvlJc w:val="left"/>
    </w:lvl>
    <w:lvl w:ilvl="6" w:tplc="BE32FDC2">
      <w:numFmt w:val="decimal"/>
      <w:lvlText w:val=""/>
      <w:lvlJc w:val="left"/>
    </w:lvl>
    <w:lvl w:ilvl="7" w:tplc="A5DC6208">
      <w:numFmt w:val="decimal"/>
      <w:lvlText w:val=""/>
      <w:lvlJc w:val="left"/>
    </w:lvl>
    <w:lvl w:ilvl="8" w:tplc="3DC89F02">
      <w:numFmt w:val="decimal"/>
      <w:lvlText w:val=""/>
      <w:lvlJc w:val="left"/>
    </w:lvl>
  </w:abstractNum>
  <w:abstractNum w:abstractNumId="2" w15:restartNumberingAfterBreak="0">
    <w:nsid w:val="72C40D2C"/>
    <w:multiLevelType w:val="multilevel"/>
    <w:tmpl w:val="2CA2BFA4"/>
    <w:lvl w:ilvl="0">
      <w:start w:val="1"/>
      <w:numFmt w:val="bullet"/>
      <w:pStyle w:val="Tieude11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09629">
    <w:abstractNumId w:val="2"/>
  </w:num>
  <w:num w:numId="2" w16cid:durableId="1151093110">
    <w:abstractNumId w:val="0"/>
    <w:lvlOverride w:ilvl="0">
      <w:startOverride w:val="1"/>
    </w:lvlOverride>
  </w:num>
  <w:num w:numId="3" w16cid:durableId="753016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E0"/>
    <w:rsid w:val="00032E14"/>
    <w:rsid w:val="001D2146"/>
    <w:rsid w:val="00827608"/>
    <w:rsid w:val="00895885"/>
    <w:rsid w:val="00AB5D13"/>
    <w:rsid w:val="00B5663C"/>
    <w:rsid w:val="00B80C2C"/>
    <w:rsid w:val="00DA5E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7EAD"/>
  <w15:chartTrackingRefBased/>
  <w15:docId w15:val="{CF512DA9-FDFE-4B15-8818-4466F349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1D2146"/>
    <w:pPr>
      <w:spacing w:before="60" w:after="60" w:line="312" w:lineRule="auto"/>
      <w:ind w:firstLine="720"/>
      <w:jc w:val="both"/>
    </w:pPr>
    <w:rPr>
      <w:rFonts w:ascii="Times New Roman" w:hAnsi="Times New Roman"/>
      <w:sz w:val="26"/>
    </w:rPr>
  </w:style>
  <w:style w:type="paragraph" w:customStyle="1" w:styleId="Tieude1">
    <w:name w:val="Tieude1."/>
    <w:basedOn w:val="Style1"/>
    <w:qFormat/>
    <w:rsid w:val="001D2146"/>
    <w:pPr>
      <w:ind w:firstLine="0"/>
      <w:jc w:val="left"/>
      <w:outlineLvl w:val="0"/>
    </w:pPr>
    <w:rPr>
      <w:b/>
    </w:rPr>
  </w:style>
  <w:style w:type="paragraph" w:customStyle="1" w:styleId="Tieude11">
    <w:name w:val="Tieude1.1"/>
    <w:basedOn w:val="Normal"/>
    <w:qFormat/>
    <w:rsid w:val="001D2146"/>
    <w:pPr>
      <w:spacing w:before="100" w:beforeAutospacing="1" w:after="100" w:afterAutospacing="1" w:line="240" w:lineRule="auto"/>
      <w:outlineLvl w:val="1"/>
    </w:pPr>
    <w:rPr>
      <w:rFonts w:ascii="Times New Roman" w:eastAsia="Times New Roman" w:hAnsi="Times New Roman" w:cs="Times New Roman"/>
      <w:b/>
      <w:bCs/>
      <w:sz w:val="26"/>
      <w:szCs w:val="27"/>
    </w:rPr>
  </w:style>
  <w:style w:type="paragraph" w:customStyle="1" w:styleId="Tieude111">
    <w:name w:val="Tieude1.1.1"/>
    <w:basedOn w:val="Normal"/>
    <w:qFormat/>
    <w:rsid w:val="001D2146"/>
    <w:pPr>
      <w:numPr>
        <w:numId w:val="1"/>
      </w:numPr>
      <w:spacing w:before="100" w:beforeAutospacing="1" w:after="100" w:afterAutospacing="1" w:line="240" w:lineRule="auto"/>
      <w:outlineLvl w:val="2"/>
    </w:pPr>
    <w:rPr>
      <w:rFonts w:ascii="Times New Roman" w:eastAsia="Times New Roman" w:hAnsi="Times New Roman" w:cs="Times New Roman"/>
      <w:b/>
      <w:bCs/>
      <w:sz w:val="26"/>
      <w:szCs w:val="24"/>
    </w:rPr>
  </w:style>
  <w:style w:type="paragraph" w:styleId="TOC1">
    <w:name w:val="toc 1"/>
    <w:basedOn w:val="Normal"/>
    <w:next w:val="Normal"/>
    <w:autoRedefine/>
    <w:uiPriority w:val="39"/>
    <w:semiHidden/>
    <w:unhideWhenUsed/>
    <w:rsid w:val="001D2146"/>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1D2146"/>
    <w:pPr>
      <w:spacing w:after="0" w:line="312" w:lineRule="auto"/>
      <w:ind w:left="261"/>
    </w:pPr>
    <w:rPr>
      <w:rFonts w:ascii="Times New Roman" w:hAnsi="Times New Roman"/>
      <w:sz w:val="26"/>
    </w:rPr>
  </w:style>
  <w:style w:type="paragraph" w:styleId="TOC3">
    <w:name w:val="toc 3"/>
    <w:basedOn w:val="Normal"/>
    <w:next w:val="Normal"/>
    <w:autoRedefine/>
    <w:uiPriority w:val="39"/>
    <w:semiHidden/>
    <w:unhideWhenUsed/>
    <w:rsid w:val="001D2146"/>
    <w:pPr>
      <w:spacing w:after="0" w:line="312" w:lineRule="auto"/>
      <w:ind w:left="522"/>
    </w:pPr>
    <w:rPr>
      <w:rFonts w:ascii="Times New Roman" w:hAnsi="Times New Roman"/>
      <w:sz w:val="26"/>
    </w:rPr>
  </w:style>
  <w:style w:type="paragraph" w:customStyle="1" w:styleId="TieuDeHinh">
    <w:name w:val="TieuDeHinh"/>
    <w:basedOn w:val="Style1"/>
    <w:qFormat/>
    <w:rsid w:val="001D2146"/>
    <w:pPr>
      <w:ind w:firstLine="0"/>
      <w:jc w:val="center"/>
    </w:pPr>
    <w:rPr>
      <w:i/>
    </w:rPr>
  </w:style>
  <w:style w:type="paragraph" w:styleId="TableofFigures">
    <w:name w:val="table of figures"/>
    <w:basedOn w:val="Normal"/>
    <w:next w:val="Normal"/>
    <w:uiPriority w:val="99"/>
    <w:unhideWhenUsed/>
    <w:rsid w:val="001D2146"/>
    <w:pPr>
      <w:spacing w:after="0"/>
      <w:jc w:val="both"/>
    </w:pPr>
    <w:rPr>
      <w:rFonts w:ascii="Times New Roman" w:hAnsi="Times New Roman"/>
      <w:sz w:val="26"/>
    </w:rPr>
  </w:style>
  <w:style w:type="paragraph" w:styleId="ListParagraph">
    <w:name w:val="List Paragraph"/>
    <w:qFormat/>
    <w:rsid w:val="00B80C2C"/>
    <w:pPr>
      <w:spacing w:after="0" w:line="240" w:lineRule="auto"/>
    </w:pPr>
    <w:rPr>
      <w:rFonts w:ascii="Times New Roman" w:eastAsia="Times New Roman" w:hAnsi="Times New Roman" w:cs="Times New Roman"/>
      <w:color w:val="000000"/>
      <w:sz w:val="24"/>
      <w:szCs w:val="24"/>
      <w:lang w:val="en-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981-97-3442-9_54" TargetMode="External"/><Relationship Id="rId18" Type="http://schemas.openxmlformats.org/officeDocument/2006/relationships/hyperlink" Target="https://doi.org/10.1007/978-3-032-25311-8_29" TargetMode="External"/><Relationship Id="rId26" Type="http://schemas.openxmlformats.org/officeDocument/2006/relationships/hyperlink" Target="https://doi.org/10.1007/978-981-96-3797-3_5" TargetMode="External"/><Relationship Id="rId3" Type="http://schemas.openxmlformats.org/officeDocument/2006/relationships/settings" Target="settings.xml"/><Relationship Id="rId21" Type="http://schemas.openxmlformats.org/officeDocument/2006/relationships/hyperlink" Target="https://link.springer.com/article/10.1186/s12911-022-02059-2" TargetMode="External"/><Relationship Id="rId34" Type="http://schemas.openxmlformats.org/officeDocument/2006/relationships/hyperlink" Target="https://doi.org/10.1186/s12911-019-0767-2" TargetMode="External"/><Relationship Id="rId7" Type="http://schemas.openxmlformats.org/officeDocument/2006/relationships/hyperlink" Target="https://link.springer.com/chapter/10.1007/978-981-96-3797-3_5" TargetMode="External"/><Relationship Id="rId12" Type="http://schemas.openxmlformats.org/officeDocument/2006/relationships/hyperlink" Target="https://doi.org/10.1007/978-981-96-9724-3_40" TargetMode="External"/><Relationship Id="rId17" Type="http://schemas.openxmlformats.org/officeDocument/2006/relationships/hyperlink" Target="https://link.springer.com/chapter/10.1007/978-3-032-25311-8_29" TargetMode="External"/><Relationship Id="rId25" Type="http://schemas.openxmlformats.org/officeDocument/2006/relationships/hyperlink" Target="https://doi.org/10.1007/978-981-99-1620-7_4" TargetMode="External"/><Relationship Id="rId33" Type="http://schemas.openxmlformats.org/officeDocument/2006/relationships/hyperlink" Target="https://doi.org/10.1186/s12911-022-02059-2" TargetMode="External"/><Relationship Id="rId2" Type="http://schemas.openxmlformats.org/officeDocument/2006/relationships/styles" Target="styles.xml"/><Relationship Id="rId16" Type="http://schemas.openxmlformats.org/officeDocument/2006/relationships/hyperlink" Target="https://doi.org/10.1007/978-3-030-59137-3_12" TargetMode="External"/><Relationship Id="rId20" Type="http://schemas.openxmlformats.org/officeDocument/2006/relationships/hyperlink" Target="https://doi.org/10.1007/978-3-031-67278-1_2" TargetMode="External"/><Relationship Id="rId29" Type="http://schemas.openxmlformats.org/officeDocument/2006/relationships/hyperlink" Target="https://doi.org/10.1007/978-981-97-3442-9_54" TargetMode="External"/><Relationship Id="rId1" Type="http://schemas.openxmlformats.org/officeDocument/2006/relationships/numbering" Target="numbering.xml"/><Relationship Id="rId6" Type="http://schemas.openxmlformats.org/officeDocument/2006/relationships/hyperlink" Target="https://doi.org/10.1007/978-981-99-1620-7_4" TargetMode="External"/><Relationship Id="rId11" Type="http://schemas.openxmlformats.org/officeDocument/2006/relationships/hyperlink" Target="https://link.springer.com/chapter/10.1007/978-981-96-9724-3_40" TargetMode="External"/><Relationship Id="rId24" Type="http://schemas.openxmlformats.org/officeDocument/2006/relationships/hyperlink" Target="https://doi.org/10.1186/s12911-019-0767-2" TargetMode="External"/><Relationship Id="rId32" Type="http://schemas.openxmlformats.org/officeDocument/2006/relationships/hyperlink" Target="https://doi.org/10.1007/978-3-031-67278-1_2" TargetMode="External"/><Relationship Id="rId5" Type="http://schemas.openxmlformats.org/officeDocument/2006/relationships/hyperlink" Target="https://link.springer.com/chapter/10.1007/978-981-99-1620-7_4" TargetMode="External"/><Relationship Id="rId15" Type="http://schemas.openxmlformats.org/officeDocument/2006/relationships/hyperlink" Target="https://link.springer.com/chapter/10.1007/978-3-030-59137-3_12" TargetMode="External"/><Relationship Id="rId23" Type="http://schemas.openxmlformats.org/officeDocument/2006/relationships/hyperlink" Target="https://link.springer.com/article/10.1186/s12911-019-0767-2" TargetMode="External"/><Relationship Id="rId28" Type="http://schemas.openxmlformats.org/officeDocument/2006/relationships/hyperlink" Target="https://doi.org/10.1007/978-981-96-9724-3_40" TargetMode="External"/><Relationship Id="rId36" Type="http://schemas.openxmlformats.org/officeDocument/2006/relationships/theme" Target="theme/theme1.xml"/><Relationship Id="rId10" Type="http://schemas.openxmlformats.org/officeDocument/2006/relationships/hyperlink" Target="https://doi.org/10.1007/978-3-031-69201-7_15" TargetMode="External"/><Relationship Id="rId19" Type="http://schemas.openxmlformats.org/officeDocument/2006/relationships/hyperlink" Target="https://link.springer.com/chapter/10.1007/978-3-031-67278-1_2" TargetMode="External"/><Relationship Id="rId31" Type="http://schemas.openxmlformats.org/officeDocument/2006/relationships/hyperlink" Target="https://doi.org/10.1007/978-3-032-25311-8_29" TargetMode="External"/><Relationship Id="rId4" Type="http://schemas.openxmlformats.org/officeDocument/2006/relationships/webSettings" Target="webSettings.xml"/><Relationship Id="rId9" Type="http://schemas.openxmlformats.org/officeDocument/2006/relationships/hyperlink" Target="https://link.springer.com/chapter/10.1007/978-3-031-69201-7_15" TargetMode="External"/><Relationship Id="rId14" Type="http://schemas.openxmlformats.org/officeDocument/2006/relationships/hyperlink" Target="https://doi.org/10.1007/978-981-97-3442-9_54" TargetMode="External"/><Relationship Id="rId22" Type="http://schemas.openxmlformats.org/officeDocument/2006/relationships/hyperlink" Target="https://doi.org/10.1186/s12911-022-02059-2" TargetMode="External"/><Relationship Id="rId27" Type="http://schemas.openxmlformats.org/officeDocument/2006/relationships/hyperlink" Target="https://doi.org/10.1007/978-3-031-69201-7_15" TargetMode="External"/><Relationship Id="rId30" Type="http://schemas.openxmlformats.org/officeDocument/2006/relationships/hyperlink" Target="https://doi.org/10.1007/978-3-030-59137-3_12" TargetMode="External"/><Relationship Id="rId35" Type="http://schemas.openxmlformats.org/officeDocument/2006/relationships/fontTable" Target="fontTable.xml"/><Relationship Id="rId8" Type="http://schemas.openxmlformats.org/officeDocument/2006/relationships/hyperlink" Target="https://doi.org/10.1007/978-981-96-3797-3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2761</Words>
  <Characters>15739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lê</dc:creator>
  <cp:keywords/>
  <dc:description/>
  <cp:lastModifiedBy>Microsoft Office User</cp:lastModifiedBy>
  <cp:revision>4</cp:revision>
  <dcterms:created xsi:type="dcterms:W3CDTF">2026-05-20T09:41:00Z</dcterms:created>
  <dcterms:modified xsi:type="dcterms:W3CDTF">2026-05-22T04:01:00Z</dcterms:modified>
</cp:coreProperties>
</file>