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2EAE1">
      <w:pPr>
        <w:pStyle w:val="249"/>
        <w:bidi w:val="0"/>
        <w:rPr>
          <w:rFonts w:hint="default"/>
          <w:b/>
          <w:bCs/>
          <w:lang w:val="vi-VN"/>
        </w:rPr>
      </w:pPr>
      <w:r>
        <w:rPr>
          <w:rFonts w:hint="default"/>
          <w:b/>
          <w:bCs/>
          <w:lang w:val="vi-VN"/>
        </w:rPr>
        <w:t>Tổng hợp 10 bài phân tích và tóm tắt</w:t>
      </w:r>
    </w:p>
    <w:p w14:paraId="576F0023"/>
    <w:p w14:paraId="2AD70159">
      <w:pPr>
        <w:pStyle w:val="250"/>
        <w:bidi w:val="0"/>
      </w:pPr>
      <w:r>
        <w:rPr>
          <w:rFonts w:hint="default"/>
          <w:lang w:val="en-US" w:eastAsia="zh-CN"/>
        </w:rPr>
        <w:t>1. Phân tích Cảm xúc và Đánh giá của Khách hàng (Sentiment Analysis)</w:t>
      </w:r>
    </w:p>
    <w:p w14:paraId="15482EDB">
      <w:pPr>
        <w:pStyle w:val="249"/>
        <w:bidi w:val="0"/>
        <w:rPr>
          <w:rFonts w:hint="default"/>
        </w:rPr>
      </w:pPr>
      <w:r>
        <w:rPr>
          <w:rFonts w:hint="default"/>
          <w:lang w:val="en-US" w:eastAsia="zh-CN"/>
        </w:rPr>
        <w:t>Có 3 nghiên cứu tập trung vào việc khai thác ngôn ngữ tự nhiên để hiểu rõ hơn về mức độ hài lòng của thực khách:</w:t>
      </w:r>
    </w:p>
    <w:p w14:paraId="73389C52">
      <w:pPr>
        <w:pStyle w:val="249"/>
        <w:bidi w:val="0"/>
        <w:rPr>
          <w:rFonts w:hint="default"/>
        </w:rPr>
      </w:pPr>
      <w:r>
        <w:rPr>
          <w:rFonts w:hint="default"/>
        </w:rPr>
        <w:t>Mô hình học sâu lai H-Food cho dữ liệu ứng dụng giao đồ ăn: Nghiên cứu này phân tích hơn 334.000 đánh giá từ FoodPanda tại Bangladesh. Bằng cách kết hợp các thuật toán nhúng (embedding), BiLSTM, cơ chế chú ý (attention) và CNN, mô hình H-Food đạt độ chính xác lên tới 91,42% cho phân loại nhị phân và xử lý tốt vấn đề mất cân bằng dữ liệu thông qua phương pháp lấy mẫu quá mức (oversampling),.</w:t>
      </w:r>
    </w:p>
    <w:p w14:paraId="6DD8DDB9">
      <w:pPr>
        <w:pStyle w:val="249"/>
        <w:bidi w:val="0"/>
        <w:rPr>
          <w:rFonts w:hint="default"/>
        </w:rPr>
      </w:pPr>
      <w:r>
        <w:rPr>
          <w:rFonts w:hint="default"/>
        </w:rPr>
        <w:t>Phân tích đa ngôn ngữ và khác biệt văn hóa: Các bài đánh giá nhà hàng thường mang sắc thái văn hóa và ngôn ngữ khác nhau. Nghiên cứu giới thiệu mô hình XLM-RSA dựa trên XLM-RoBERTa kết hợp cơ chế chú ý tập trung vào các khía cạnh cụ thể (thức ăn, dịch vụ, không gian). Nó đã đạt độ chính xác cao khi áp dụng trên các tệp dữ liệu đánh giá nhà hàng đa ngôn ngữ (châu Âu, Mỹ) và chứng minh khả năng xử lý những thay đổi cảm xúc liên quan đến khác biệt văn hóa,.</w:t>
      </w:r>
    </w:p>
    <w:p w14:paraId="65D1B760">
      <w:pPr>
        <w:pStyle w:val="249"/>
        <w:bidi w:val="0"/>
        <w:rPr>
          <w:rFonts w:hint="default" w:ascii="1rem / 1.5rem google sans text" w:hAnsi="1rem / 1.5rem google sans text" w:eastAsia="1rem / 1.5rem google sans text" w:cs="1rem / 1.5rem google sans text"/>
          <w:spacing w:val="0"/>
        </w:rPr>
      </w:pPr>
      <w:r>
        <w:rPr>
          <w:rFonts w:hint="default"/>
        </w:rPr>
        <w:t>Khai thác ý kiến bằng phương pháp học máy kết hợp (Ensemble Model): Thay vì chỉ dùng một mô hình đơn lẻ, nghiên cứu này kết hợp Support Vector Machine (SVM), Logistic Regression, và Multinomial Naive Bayes để tạo ra một bộ phân loại "bỏ phiếu theo số đông" (majority voting classifier). Mô hình kết hợp này đem lại độ chính xác 88,27% với thời gian xử lý rất tối ưu, cung cấp cho các chủ nhà hàng công cụ phân tích phản hồi nhanh chóng và hiệu quả,.</w:t>
      </w:r>
    </w:p>
    <w:p w14:paraId="6FAAE455">
      <w:pPr>
        <w:pStyle w:val="250"/>
        <w:bidi w:val="0"/>
        <w:rPr>
          <w:rFonts w:hint="default"/>
        </w:rPr>
      </w:pPr>
      <w:r>
        <w:rPr>
          <w:rFonts w:hint="default"/>
          <w:lang w:val="en-US" w:eastAsia="zh-CN"/>
        </w:rPr>
        <w:t>2. Dự báo Khủng hoảng và Khả năng Sinh tồn của Nhà hàng</w:t>
      </w:r>
    </w:p>
    <w:p w14:paraId="118E1A57">
      <w:pPr>
        <w:pStyle w:val="249"/>
        <w:numPr>
          <w:ilvl w:val="0"/>
          <w:numId w:val="11"/>
        </w:numPr>
        <w:bidi w:val="0"/>
        <w:rPr>
          <w:rFonts w:hint="default"/>
        </w:rPr>
      </w:pPr>
      <w:r>
        <w:rPr>
          <w:rFonts w:hint="default"/>
        </w:rPr>
        <w:t>Dự báo phá sản qua dữ liệu thay thế: Như đã phân tích trước đó, nghiên cứu tại Thụy Sĩ này chứng minh rằng việc kết hợp dữ liệu truyền thống (tuổi đời, loại hình công ty) với dữ liệu từ người tiêu dùng (số lượng và điểm đánh giá trên Google, TripAdvisor) làm tăng đáng kể độ chính xác trong việc dự báo nguy cơ phá sản của một nhà hàng,.</w:t>
      </w:r>
    </w:p>
    <w:p w14:paraId="724027E0">
      <w:pPr>
        <w:pStyle w:val="249"/>
        <w:numPr>
          <w:ilvl w:val="0"/>
          <w:numId w:val="11"/>
        </w:numPr>
        <w:bidi w:val="0"/>
        <w:rPr>
          <w:rFonts w:hint="default"/>
        </w:rPr>
      </w:pPr>
      <w:r>
        <w:rPr>
          <w:rFonts w:hint="default"/>
        </w:rPr>
        <w:t>Tác động của phong tỏa (COVID-19) đến sự đóng cửa nhà hàng: Bằng cách phân tích hơn 14 triệu điểm dữ liệu từ nền tảng Dianping (Trung Quốc), nghiên cứu chỉ ra rằng cứ mỗi 12 ngày bị phong tỏa, rủi ro đóng cửa nhà hàng tăng 12,7%. Tuy nhiên, các nhà hàng có xếp hạng sao cao, hoạt động lâu năm, dạng chuỗi và có giá bán cao thể hiện sức chống chịu (resilience) vượt trội. Đáng chú ý, các nhà hàng chuyên cung cấp dịch vụ giao hàng hoặc bán các món ăn quá phổ biến lại có tỷ lệ đóng cửa cao hơn dưới áp lực phong tỏa,.</w:t>
      </w:r>
    </w:p>
    <w:p w14:paraId="623632A4">
      <w:pPr>
        <w:pStyle w:val="250"/>
        <w:bidi w:val="0"/>
        <w:rPr>
          <w:rFonts w:hint="default"/>
        </w:rPr>
      </w:pPr>
      <w:r>
        <w:rPr>
          <w:rFonts w:hint="default"/>
          <w:lang w:val="en-US" w:eastAsia="zh-CN"/>
        </w:rPr>
        <w:t>3. Tối ưu hóa Doanh thu và Hệ thống Khuyến nghị (Revenue &amp; Recommender Systems)</w:t>
      </w:r>
    </w:p>
    <w:p w14:paraId="3377707D">
      <w:pPr>
        <w:pStyle w:val="249"/>
        <w:numPr>
          <w:ilvl w:val="0"/>
          <w:numId w:val="11"/>
        </w:numPr>
        <w:bidi w:val="0"/>
        <w:rPr>
          <w:rFonts w:hint="default"/>
        </w:rPr>
      </w:pPr>
      <w:r>
        <w:rPr>
          <w:rFonts w:hint="default"/>
        </w:rPr>
        <w:t>Quản lý doanh thu qua Đấu giá Tổ hợp (Combinatorial Auctions): Để giải quyết bài toán khan hiếm bàn tại các nhà hàng nổi tiếng, nghiên cứu này đề xuất một giải pháp đột phá: cho phép khách hàng đấu giá theo "gói" (kết hợp các loại bàn và thực đơn) qua nền tảng web. Thông qua mô hình này, nhà hàng có thể tối đa hóa công suất ghế ngồi, trực tiếp tăng doanh thu và loại bỏ sự can phụ của các bên trung gian "chợ đen" chuyên bán lại lượt đặt bàn,.</w:t>
      </w:r>
    </w:p>
    <w:p w14:paraId="4D26429B">
      <w:pPr>
        <w:pStyle w:val="249"/>
        <w:numPr>
          <w:ilvl w:val="0"/>
          <w:numId w:val="11"/>
        </w:numPr>
        <w:bidi w:val="0"/>
        <w:rPr>
          <w:rFonts w:hint="default"/>
        </w:rPr>
      </w:pPr>
      <w:r>
        <w:rPr>
          <w:rFonts w:hint="default"/>
        </w:rPr>
        <w:t>Hệ thống gợi ý nhà hàng dựa trên nội dung (Content-Based Recommender): Dùng dữ liệu hướng dẫn ẩm thực bằng tiếng Đức, nghiên cứu này so sánh phương pháp TF-IDF truyền thống và mô hình ngôn ngữ SBERT để gợi ý nhà hàng. Kết quả cho thấy TF-IDF vẫn có thể hoạt động rất tốt (thậm chí tốt hơn trong một số trường hợp bếp cụ thể) nếu dữ liệu được xử lý nhiễu kỹ. Trong khi đó, SBERT tạo ra các gợi ý mới mẻ hơn nhờ khả năng hiểu được các bối cảnh tiềm ẩn (như không gian hay bầu không khí của quán),.</w:t>
      </w:r>
    </w:p>
    <w:p w14:paraId="4BEC3FF2">
      <w:pPr>
        <w:pStyle w:val="250"/>
        <w:bidi w:val="0"/>
        <w:rPr>
          <w:rFonts w:hint="default"/>
        </w:rPr>
      </w:pPr>
      <w:r>
        <w:rPr>
          <w:rFonts w:hint="default"/>
          <w:lang w:val="en-US" w:eastAsia="zh-CN"/>
        </w:rPr>
        <w:t>4. Vận hành, Đào tạo và An toàn Thực phẩm</w:t>
      </w:r>
    </w:p>
    <w:p w14:paraId="78F33BF3">
      <w:pPr>
        <w:pStyle w:val="249"/>
        <w:numPr>
          <w:ilvl w:val="0"/>
          <w:numId w:val="12"/>
        </w:numPr>
        <w:bidi w:val="0"/>
        <w:rPr>
          <w:rFonts w:hint="default"/>
        </w:rPr>
      </w:pPr>
      <w:r>
        <w:rPr>
          <w:rFonts w:hint="default"/>
        </w:rPr>
        <w:t>Đào tạo nhân viên bằng Thực tế Ảo (VR): Đào tạo thực tế (OJT) trong nhà hàng rất tốn kém và khó đánh giá. Một hệ thống VR đã được phát triển để mô phỏng không gian nhà hàng, giúp nhân viên mới rèn luyện kỹ năng "quan sát" và "thiết lập ưu tiên" khi phục vụ nhiều bàn cùng lúc. Dù điểm kiểm tra nhận thức không cải thiện ngay lập tức một cách rõ rệt, nhưng hệ thống được cả chuyên gia lẫn người mới học đánh giá rất cao về tính hữu ích và khả năng tái hiện sinh động,.</w:t>
      </w:r>
    </w:p>
    <w:p w14:paraId="2BE32B1D">
      <w:pPr>
        <w:pStyle w:val="249"/>
        <w:numPr>
          <w:ilvl w:val="0"/>
          <w:numId w:val="12"/>
        </w:numPr>
        <w:bidi w:val="0"/>
        <w:rPr>
          <w:rFonts w:hint="default"/>
        </w:rPr>
      </w:pPr>
      <w:r>
        <w:rPr>
          <w:rFonts w:hint="default"/>
        </w:rPr>
        <w:t>Các yếu tố liên quan đến vật thể lạ trong thức ăn: Từ dữ liệu hành chính ở Seoul (Hàn Quốc), nghiên cứu chỉ ra rằng việc phát hiện "dị vật" trong thức ăn không phải là ngẫu nhiên. Rủi ro này tăng cao (gấp nhiều lần) ở các nhóm: nhà hàng phục vụ đồ Hoa, cơ sở có sử dụng nền tảng giao đồ ăn trực tuyến (có áp lực thời gian lớn), nhà hàng do nhiều người đồng sở hữu và người chủ ở độ tuổi 30,.</w:t>
      </w:r>
    </w:p>
    <w:p w14:paraId="5125DA90">
      <w:pPr>
        <w:pStyle w:val="250"/>
        <w:bidi w:val="0"/>
        <w:rPr>
          <w:rFonts w:hint="default"/>
        </w:rPr>
      </w:pPr>
      <w:r>
        <w:rPr>
          <w:rFonts w:hint="default"/>
          <w:lang w:val="en-US" w:eastAsia="zh-CN"/>
        </w:rPr>
        <w:t>5. Chính sách Dinh dưỡng và Sức khỏe Cộng đồng</w:t>
      </w:r>
    </w:p>
    <w:p w14:paraId="17E177B7">
      <w:pPr>
        <w:pStyle w:val="249"/>
        <w:numPr>
          <w:ilvl w:val="0"/>
          <w:numId w:val="13"/>
        </w:numPr>
        <w:bidi w:val="0"/>
        <w:rPr>
          <w:rFonts w:hint="default"/>
        </w:rPr>
      </w:pPr>
      <w:r>
        <w:rPr>
          <w:rFonts w:hint="default"/>
        </w:rPr>
        <w:t>Giảm giá thực đơn lành mạnh để thay đổi hành vi tiêu thụ: Thường xuyên ăn ngoài dẫn đến nạp quá nhiều calo và gây béo phì. Một thử nghiệm tại nhà hàng thực tế đã tiến hành giảm giá 30% cho các món ăn có hàm lượng calo thấp. Kết quả, khách hàng đã mua và thực sự tiêu thụ ít hơn trung bình khoảng 98 kcal mỗi bữa, đồng thời cũng giảm lượng chất béo và chất béo bão hòa nạp vào,. Nghiên cứu không ghi nhận sự khác biệt lớn giữa những khách hàng có vị thế kinh tế xã hội (SEP) cao hay thấp, cho thấy đây là một công cụ can thiệp bình đẳng và hiệu quả</w:t>
      </w:r>
    </w:p>
    <w:p w14:paraId="56E91365">
      <w:pPr>
        <w:pStyle w:val="250"/>
        <w:bidi w:val="0"/>
        <w:rPr>
          <w:rFonts w:hint="default"/>
          <w:lang w:val="vi-VN"/>
        </w:rPr>
      </w:pPr>
      <w:r>
        <w:rPr>
          <w:rFonts w:hint="default"/>
          <w:lang w:val="vi-VN"/>
        </w:rPr>
        <w:t>Tóm tắt</w:t>
      </w:r>
    </w:p>
    <w:p w14:paraId="07699ED5">
      <w:pPr>
        <w:pStyle w:val="249"/>
        <w:bidi w:val="0"/>
        <w:rPr>
          <w:rFonts w:hint="default"/>
          <w:lang w:val="vi-VN"/>
        </w:rPr>
      </w:pPr>
      <w:r>
        <w:t>Toàn bộ 10 nghiên cứu đều minh chứng ch</w:t>
      </w:r>
      <w:bookmarkStart w:id="0" w:name="_GoBack"/>
      <w:bookmarkEnd w:id="0"/>
      <w:r>
        <w:t>o việc chuyển đổi số và tiếp cận dựa trên dữ liệu đang tái định hình lại ngành nhà hàng. Từ việc lắng nghe ý kiến trên mạng xã hội, phòng ngừa phá sản, thiết kế hệ thống gợi ý, tối ưu đặt bàn bằng đấu giá, đào tạo thực tế ảo cho tới can thiệp về giá để cải thiện sức khỏe cộng đồng. Sự kết hợp giữa máy học, trí tuệ nhân tạo và kinh tế học hành vi đang giúp tối ưu hóa mọi điểm chạm (touchpoint) giữa khách hàng và nhà cung cấp dịch vụ.</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A69581F"/>
    <w:multiLevelType w:val="multilevel"/>
    <w:tmpl w:val="1A695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7C4FCFE"/>
    <w:multiLevelType w:val="multilevel"/>
    <w:tmpl w:val="47C4F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BE98ADF"/>
    <w:multiLevelType w:val="multilevel"/>
    <w:tmpl w:val="6BE98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B10E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2B10EE"/>
    <w:rsid w:val="0EB4052B"/>
    <w:rsid w:val="25456966"/>
    <w:rsid w:val="270F17A0"/>
    <w:rsid w:val="290179D1"/>
    <w:rsid w:val="2FC4426D"/>
    <w:rsid w:val="45CD6D71"/>
    <w:rsid w:val="515D5589"/>
    <w:rsid w:val="564D31A3"/>
    <w:rsid w:val="62FC21C1"/>
    <w:rsid w:val="692E48AA"/>
    <w:rsid w:val="7A990AC8"/>
    <w:rsid w:val="7AA5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rPr>
      <w:rFonts w:ascii="Times New Roman" w:hAnsi="Times New Roman"/>
      <w:sz w:val="26"/>
    </w:rPr>
  </w:style>
  <w:style w:type="paragraph" w:styleId="143">
    <w:name w:val="toc 2"/>
    <w:basedOn w:val="1"/>
    <w:next w:val="1"/>
    <w:uiPriority w:val="0"/>
    <w:pPr>
      <w:ind w:left="261" w:leftChars="0"/>
    </w:pPr>
    <w:rPr>
      <w:rFonts w:ascii="Times New Roman" w:hAnsi="Times New Roman"/>
      <w:sz w:val="26"/>
    </w:rPr>
  </w:style>
  <w:style w:type="paragraph" w:styleId="144">
    <w:name w:val="toc 3"/>
    <w:basedOn w:val="1"/>
    <w:next w:val="1"/>
    <w:uiPriority w:val="0"/>
    <w:pPr>
      <w:ind w:left="522" w:leftChars="0"/>
    </w:pPr>
    <w:rPr>
      <w:rFonts w:ascii="Times New Roman" w:hAnsi="Times New Roman"/>
      <w:sz w:val="26"/>
    </w:r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qFormat/>
    <w:uiPriority w:val="0"/>
    <w:pPr>
      <w:spacing w:before="60" w:after="60" w:line="312" w:lineRule="auto"/>
      <w:ind w:firstLine="720"/>
      <w:jc w:val="both"/>
    </w:pPr>
    <w:rPr>
      <w:rFonts w:ascii="Times New Roman" w:hAnsi="Times New Roman"/>
      <w:sz w:val="26"/>
      <w:lang w:val="vi-VN"/>
    </w:rPr>
  </w:style>
  <w:style w:type="paragraph" w:customStyle="1" w:styleId="250">
    <w:name w:val="TieuDe1"/>
    <w:basedOn w:val="1"/>
    <w:link w:val="251"/>
    <w:qFormat/>
    <w:uiPriority w:val="0"/>
    <w:pPr>
      <w:spacing w:before="60" w:after="60" w:line="312" w:lineRule="auto"/>
      <w:ind w:firstLine="0"/>
      <w:jc w:val="left"/>
      <w:outlineLvl w:val="0"/>
    </w:pPr>
    <w:rPr>
      <w:rFonts w:ascii="Times New Roman" w:hAnsi="Times New Roman"/>
      <w:b/>
      <w:sz w:val="26"/>
      <w:lang w:val="vi-VN"/>
    </w:rPr>
  </w:style>
  <w:style w:type="character" w:customStyle="1" w:styleId="251">
    <w:name w:val="TieuDe1 Char"/>
    <w:link w:val="250"/>
    <w:qFormat/>
    <w:uiPriority w:val="0"/>
    <w:rPr>
      <w:rFonts w:ascii="Times New Roman" w:hAnsi="Times New Roman"/>
      <w:b/>
      <w:sz w:val="26"/>
      <w:lang w:val="vi-VN"/>
    </w:rPr>
  </w:style>
  <w:style w:type="paragraph" w:customStyle="1" w:styleId="252">
    <w:name w:val="TieuDe1.1"/>
    <w:basedOn w:val="1"/>
    <w:link w:val="253"/>
    <w:qFormat/>
    <w:uiPriority w:val="0"/>
    <w:pPr>
      <w:spacing w:before="60" w:after="60" w:line="312" w:lineRule="auto"/>
      <w:ind w:firstLine="0"/>
      <w:jc w:val="left"/>
      <w:outlineLvl w:val="1"/>
    </w:pPr>
    <w:rPr>
      <w:rFonts w:ascii="Times New Roman" w:hAnsi="Times New Roman"/>
      <w:b/>
      <w:sz w:val="26"/>
      <w:lang w:val="vi-VN"/>
    </w:rPr>
  </w:style>
  <w:style w:type="character" w:customStyle="1" w:styleId="253">
    <w:name w:val="TieuDe1.1 Char"/>
    <w:link w:val="252"/>
    <w:qFormat/>
    <w:uiPriority w:val="0"/>
    <w:rPr>
      <w:rFonts w:ascii="Times New Roman" w:hAnsi="Times New Roman"/>
      <w:b/>
      <w:sz w:val="26"/>
      <w:lang w:val="vi-VN"/>
    </w:rPr>
  </w:style>
  <w:style w:type="paragraph" w:customStyle="1" w:styleId="254">
    <w:name w:val="TieuDe1.1.1"/>
    <w:basedOn w:val="1"/>
    <w:qFormat/>
    <w:uiPriority w:val="0"/>
    <w:pPr>
      <w:spacing w:before="60" w:after="60" w:line="312" w:lineRule="auto"/>
      <w:ind w:firstLine="0"/>
      <w:jc w:val="left"/>
      <w:outlineLvl w:val="2"/>
    </w:pPr>
    <w:rPr>
      <w:rFonts w:ascii="Times New Roman" w:hAnsi="Times New Roman"/>
      <w:b/>
      <w:sz w:val="26"/>
      <w:lang w:val="vi-VN"/>
    </w:rPr>
  </w:style>
  <w:style w:type="paragraph" w:customStyle="1" w:styleId="255">
    <w:name w:val="TieuDeHinh"/>
    <w:basedOn w:val="1"/>
    <w:qFormat/>
    <w:uiPriority w:val="0"/>
    <w:pPr>
      <w:tabs>
        <w:tab w:val="right" w:leader="dot" w:pos="8306"/>
      </w:tabs>
      <w:jc w:val="center"/>
    </w:pPr>
    <w:rPr>
      <w:rFonts w:ascii="Times New Roman" w:hAnsi="Times New Roman"/>
      <w:i/>
      <w:sz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1054</Words>
  <Characters>3861</Characters>
  <Lines>0</Lines>
  <Paragraphs>0</Paragraphs>
  <TotalTime>5</TotalTime>
  <ScaleCrop>false</ScaleCrop>
  <LinksUpToDate>false</LinksUpToDate>
  <CharactersWithSpaces>4899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2026-05-22T02:58:00Z</dcterms:created>
  <dc:creator>10 Long Nguyễn Thành</dc:creator>
  <cp:lastModifiedBy>10 Long Nguyễn Thành</cp:lastModifiedBy>
  <dcterms:modified xsi:type="dcterms:W3CDTF">2026-05-22T03:17:22Z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6B48C00931194F7E9FA0AA7AB223EAD5_11</vt:lpwstr>
  </property>
  <property fmtid="{D5CDD505-2E9C-101B-9397-08002B2CF9AE}" pid="4" name="KSOTemplateDocerSaveRecord">
    <vt:lpwstr>eyJoZGlkIjoiMWFhNzY1ZTBjMWQwNDI0YTA2YjUwMzhlZTY0MmFhZWQiLCJ1c2VySWQiOiIxMzkyMTE1OTM5ODk1In0=</vt:lpwstr>
  </property>
</Properties>
</file>