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7bad959d59c9efe34b1afe7fc7ab359752425a8"/>
    <w:p>
      <w:pPr>
        <w:pStyle w:val="Heading1"/>
      </w:pPr>
      <w:r>
        <w:t xml:space="preserve">BioCarbon Tokenization — 3-Platform Gap Analysis</w:t>
      </w:r>
    </w:p>
    <w:p>
      <w:pPr>
        <w:pStyle w:val="FirstParagraph"/>
      </w:pPr>
      <w:r>
        <w:rPr>
          <w:b/>
          <w:bCs/>
        </w:rPr>
        <w:t xml:space="preserve">Source guideline:</w:t>
      </w:r>
      <w:r>
        <w:t xml:space="preserve"> </w:t>
      </w:r>
      <w:r>
        <w:rPr>
          <w:i/>
          <w:iCs/>
        </w:rPr>
        <w:t xml:space="preserve">BIOCARBON CERT, Tokenization Guidelines v1.0, 3 May 2024.</w:t>
      </w:r>
      <w:r>
        <w:t xml:space="preserve"> </w:t>
      </w:r>
      <w:r>
        <w:t xml:space="preserve">See</w:t>
      </w:r>
      <w:r>
        <w:t xml:space="preserve"> </w:t>
      </w:r>
      <w:r>
        <w:rPr>
          <w:rStyle w:val="VerbatimChar"/>
        </w:rPr>
        <w:t xml:space="preserve">BIOCARBON_TOKENIZATION_GUIDELINES_RESEARCH.md</w:t>
      </w:r>
      <w:r>
        <w:t xml:space="preserve"> </w:t>
      </w:r>
      <w:r>
        <w:t xml:space="preserve">for the binding-requirements catalogue (B1–B24).</w:t>
      </w:r>
    </w:p>
    <w:p>
      <w:pPr>
        <w:pStyle w:val="BodyText"/>
      </w:pPr>
      <w:r>
        <w:rPr>
          <w:b/>
          <w:bCs/>
        </w:rPr>
        <w:t xml:space="preserve">Scope:</w:t>
      </w:r>
      <w:r>
        <w:t xml:space="preserve"> </w:t>
      </w:r>
      <w:r>
        <w:t xml:space="preserve">What does each Aurigraph-DLT-Corp platform need to do to align with BCR's third-party tokenization rules?</w:t>
      </w:r>
    </w:p>
    <w:p>
      <w:r>
        <w:pict>
          <v:rect style="width:0;height:1.5pt" o:hralign="center" o:hrstd="t" o:hr="t"/>
        </w:pict>
      </w:r>
    </w:p>
    <w:bookmarkStart w:id="13" w:name="executive-scope-verdict"/>
    <w:p>
      <w:pPr>
        <w:pStyle w:val="Heading2"/>
      </w:pPr>
      <w:r>
        <w:t xml:space="preserve">Executive scope verdict</w:t>
      </w:r>
    </w:p>
    <w:p>
      <w:pPr>
        <w:pStyle w:val="FirstParagraph"/>
      </w:pPr>
      <w:r>
        <w:rPr>
          <w:i/>
          <w:iCs/>
        </w:rPr>
        <w:t xml:space="preserve">Word / PDF exports: a single very wide 5-column table is often clipped. Per-platform 2-column tables keep every column within the page width.</w:t>
      </w:r>
    </w:p>
    <w:bookmarkStart w:id="9" w:name="aurex"/>
    <w:p>
      <w:pPr>
        <w:pStyle w:val="Heading3"/>
      </w:pPr>
      <w:r>
        <w:t xml:space="preserve">Aurex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Aurex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Aurex-V4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Domain</w:t>
            </w:r>
          </w:p>
        </w:tc>
        <w:tc>
          <w:tcPr/>
          <w:p>
            <w:pPr>
              <w:pStyle w:val="Compact"/>
            </w:pPr>
            <w:r>
              <w:t xml:space="preserve">Corporate carbon accounting + A6.4 PACM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Tokenization role</w:t>
            </w:r>
          </w:p>
        </w:tc>
        <w:tc>
          <w:tcPr/>
          <w:p>
            <w:pPr>
              <w:pStyle w:val="Compact"/>
            </w:pPr>
            <w:r>
              <w:t xml:space="preserve">Primary tokenizer + marketplace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Verdict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 scope — most work</w:t>
            </w:r>
          </w:p>
        </w:tc>
      </w:tr>
    </w:tbl>
    <w:bookmarkEnd w:id="9"/>
    <w:bookmarkStart w:id="10" w:name="awd2"/>
    <w:p>
      <w:pPr>
        <w:pStyle w:val="Heading3"/>
      </w:pPr>
      <w:r>
        <w:t xml:space="preserve">AWD2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AWD2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AWD2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Domain</w:t>
            </w:r>
          </w:p>
        </w:tc>
        <w:tc>
          <w:tcPr/>
          <w:p>
            <w:pPr>
              <w:pStyle w:val="Compact"/>
            </w:pPr>
            <w:r>
              <w:t xml:space="preserve">Agricultural carbon credits (VM0042, farmer-onboarded), ERC-721 NFTs deployed to Polygon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Tokenization role</w:t>
            </w:r>
          </w:p>
        </w:tc>
        <w:tc>
          <w:tcPr/>
          <w:p>
            <w:pPr>
              <w:pStyle w:val="Compact"/>
            </w:pPr>
            <w:r>
              <w:t xml:space="preserve">Origination + has its own contracts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Verdict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 scope — needs BCR alignment migration</w:t>
            </w:r>
          </w:p>
        </w:tc>
      </w:tr>
    </w:tbl>
    <w:bookmarkEnd w:id="10"/>
    <w:bookmarkStart w:id="11" w:name="hce2"/>
    <w:p>
      <w:pPr>
        <w:pStyle w:val="Heading3"/>
      </w:pPr>
      <w:r>
        <w:t xml:space="preserve">HCE2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HCE2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HCE2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Domain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Hybrid</w:t>
            </w:r>
            <w:r>
              <w:t xml:space="preserve"> </w:t>
            </w:r>
            <w:r>
              <w:t xml:space="preserve">— CLAUDE.md describes HIPAA/EHR; code has</w:t>
            </w:r>
            <w:r>
              <w:t xml:space="preserve"> </w:t>
            </w:r>
            <w:r>
              <w:rPr>
                <w:rStyle w:val="VerbatimChar"/>
              </w:rPr>
              <w:t xml:space="preserve">contracts/carbon_credits/AurigraphCarbonToken.sol</w:t>
            </w:r>
            <w:r>
              <w:t xml:space="preserve"> </w:t>
            </w:r>
            <w:r>
              <w:t xml:space="preserve">(ERC-20) +</w:t>
            </w:r>
            <w:r>
              <w:t xml:space="preserve"> </w:t>
            </w:r>
            <w:r>
              <w:rPr>
                <w:rStyle w:val="VerbatimChar"/>
              </w:rPr>
              <w:t xml:space="preserve">app/agents/carbon_estimation_agent.py</w:t>
            </w:r>
            <w:r>
              <w:t xml:space="preserve"> </w:t>
            </w:r>
            <w:r>
              <w:t xml:space="preserve">+ Project/Parcel/Forest3D models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Tokenization role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Conflicting signals — needs user decision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Verdict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CONDITIONAL — see §0</w:t>
            </w:r>
          </w:p>
        </w:tc>
      </w:tr>
    </w:tbl>
    <w:bookmarkEnd w:id="11"/>
    <w:bookmarkStart w:id="12" w:name="X9167a4617a522ca836e216ede7c8b97a02259b0"/>
    <w:p>
      <w:pPr>
        <w:pStyle w:val="Heading3"/>
      </w:pPr>
      <w:r>
        <w:t xml:space="preserve">§0 — HCE2 scope conflict (resolution required before Sprint 1)</w:t>
      </w:r>
    </w:p>
    <w:p>
      <w:pPr>
        <w:pStyle w:val="FirstParagraph"/>
      </w:pPr>
      <w:r>
        <w:t xml:space="preserve">Two independent surveys returned different verdicts: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Survey A</w:t>
      </w:r>
      <w:r>
        <w:t xml:space="preserve"> </w:t>
      </w:r>
      <w:r>
        <w:t xml:space="preserve">(read CLAUDE.md): HCE2 is a Hospital Care &amp; EHR Management System. Compliance focus: HIPAA, HITRUST, HL7 FHIR. No carbon role. Out of scope.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Survey B</w:t>
      </w:r>
      <w:r>
        <w:t xml:space="preserve"> </w:t>
      </w:r>
      <w:r>
        <w:t xml:space="preserve">(read code directly): HCE2 contains: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contracts/carbon_credits/AurigraphCarbonToken.sol</w:t>
      </w:r>
      <w:r>
        <w:t xml:space="preserve"> </w:t>
      </w:r>
      <w:r>
        <w:t xml:space="preserve">— ERC-20 carbon token with</w:t>
      </w:r>
      <w:r>
        <w:t xml:space="preserve"> </w:t>
      </w:r>
      <w:r>
        <w:rPr>
          <w:rStyle w:val="VerbatimChar"/>
        </w:rPr>
        <w:t xml:space="preserve">serialNumber</w:t>
      </w:r>
      <w:r>
        <w:t xml:space="preserve">,</w:t>
      </w:r>
      <w:r>
        <w:t xml:space="preserve"> </w:t>
      </w:r>
      <w:r>
        <w:rPr>
          <w:rStyle w:val="VerbatimChar"/>
        </w:rPr>
        <w:t xml:space="preserve">projectId</w:t>
      </w:r>
      <w:r>
        <w:t xml:space="preserve">,</w:t>
      </w:r>
      <w:r>
        <w:t xml:space="preserve"> </w:t>
      </w:r>
      <w:r>
        <w:rPr>
          <w:rStyle w:val="VerbatimChar"/>
        </w:rPr>
        <w:t xml:space="preserve">vintage</w:t>
      </w:r>
      <w:r>
        <w:t xml:space="preserve">,</w:t>
      </w:r>
      <w:r>
        <w:t xml:space="preserve"> </w:t>
      </w:r>
      <w:r>
        <w:rPr>
          <w:rStyle w:val="VerbatimChar"/>
        </w:rPr>
        <w:t xml:space="preserve">methodology</w:t>
      </w:r>
      <w:r>
        <w:t xml:space="preserve">,</w:t>
      </w:r>
      <w:r>
        <w:t xml:space="preserve"> </w:t>
      </w:r>
      <w:r>
        <w:rPr>
          <w:rStyle w:val="VerbatimChar"/>
        </w:rPr>
        <w:t xml:space="preserve">verificationBody</w:t>
      </w:r>
      <w:r>
        <w:t xml:space="preserve">,</w:t>
      </w:r>
      <w:r>
        <w:t xml:space="preserve"> </w:t>
      </w:r>
      <w:r>
        <w:rPr>
          <w:rStyle w:val="VerbatimChar"/>
        </w:rPr>
        <w:t xml:space="preserve">bufferPoolContribution</w:t>
      </w:r>
      <w:r>
        <w:t xml:space="preserve">, retire/transfer events.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app/agents/carbon_estimation_agent.py</w:t>
      </w:r>
      <w:r>
        <w:t xml:space="preserve"> </w:t>
      </w:r>
      <w:r>
        <w:t xml:space="preserve">— DMRV agent for biomass + carbon-stock + DMRV-compliance.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Project</w:t>
      </w:r>
      <w:r>
        <w:t xml:space="preserve">,</w:t>
      </w:r>
      <w:r>
        <w:t xml:space="preserve"> </w:t>
      </w:r>
      <w:r>
        <w:rPr>
          <w:rStyle w:val="VerbatimChar"/>
        </w:rPr>
        <w:t xml:space="preserve">Parcel</w:t>
      </w:r>
      <w:r>
        <w:t xml:space="preserve">,</w:t>
      </w:r>
      <w:r>
        <w:t xml:space="preserve"> </w:t>
      </w:r>
      <w:r>
        <w:rPr>
          <w:rStyle w:val="VerbatimChar"/>
        </w:rPr>
        <w:t xml:space="preserve">Forest3DTree</w:t>
      </w:r>
      <w:r>
        <w:t xml:space="preserve">,</w:t>
      </w:r>
      <w:r>
        <w:t xml:space="preserve"> </w:t>
      </w:r>
      <w:r>
        <w:rPr>
          <w:rStyle w:val="VerbatimChar"/>
        </w:rPr>
        <w:t xml:space="preserve">ForestStructureMetrics</w:t>
      </w:r>
      <w:r>
        <w:t xml:space="preserve">,</w:t>
      </w:r>
      <w:r>
        <w:t xml:space="preserve"> </w:t>
      </w:r>
      <w:r>
        <w:rPr>
          <w:rStyle w:val="VerbatimChar"/>
        </w:rPr>
        <w:t xml:space="preserve">ForestReconstructionResponse</w:t>
      </w:r>
      <w:r>
        <w:t xml:space="preserve"> </w:t>
      </w:r>
      <w:r>
        <w:t xml:space="preserve">models.</w:t>
      </w:r>
    </w:p>
    <w:p>
      <w:pPr>
        <w:pStyle w:val="Compact"/>
        <w:numPr>
          <w:ilvl w:val="1"/>
          <w:numId w:val="1002"/>
        </w:numPr>
      </w:pPr>
      <w:r>
        <w:t xml:space="preserve">4 contract roles:</w:t>
      </w:r>
      <w:r>
        <w:t xml:space="preserve"> </w:t>
      </w:r>
      <w:r>
        <w:rPr>
          <w:rStyle w:val="VerbatimChar"/>
        </w:rPr>
        <w:t xml:space="preserve">MINTER_ROLE</w:t>
      </w:r>
      <w:r>
        <w:t xml:space="preserve">,</w:t>
      </w:r>
      <w:r>
        <w:t xml:space="preserve"> </w:t>
      </w:r>
      <w:r>
        <w:rPr>
          <w:rStyle w:val="VerbatimChar"/>
        </w:rPr>
        <w:t xml:space="preserve">REGISTRY_ROLE</w:t>
      </w:r>
      <w:r>
        <w:t xml:space="preserve">,</w:t>
      </w:r>
      <w:r>
        <w:t xml:space="preserve"> </w:t>
      </w:r>
      <w:r>
        <w:rPr>
          <w:rStyle w:val="VerbatimChar"/>
        </w:rPr>
        <w:t xml:space="preserve">AUDITOR_ROLE</w:t>
      </w:r>
      <w:r>
        <w:t xml:space="preserve">,</w:t>
      </w:r>
      <w:r>
        <w:t xml:space="preserve"> </w:t>
      </w:r>
      <w:r>
        <w:rPr>
          <w:rStyle w:val="VerbatimChar"/>
        </w:rPr>
        <w:t xml:space="preserve">PAUSER_ROLE</w:t>
      </w:r>
      <w:r>
        <w:t xml:space="preserve">.</w:t>
      </w:r>
    </w:p>
    <w:p>
      <w:pPr>
        <w:pStyle w:val="Compact"/>
        <w:numPr>
          <w:ilvl w:val="1"/>
          <w:numId w:val="1002"/>
        </w:numPr>
      </w:pPr>
      <w:r>
        <w:t xml:space="preserve">The Jira project HCE2 has carbon epics (HCE2-13 "Cross-Chain Carbon Token Bridge", HCE2-57 "Blockchain integration for carbon credits").</w:t>
      </w:r>
    </w:p>
    <w:p>
      <w:pPr>
        <w:pStyle w:val="FirstParagraph"/>
      </w:pPr>
      <w:r>
        <w:rPr>
          <w:b/>
          <w:bCs/>
        </w:rPr>
        <w:t xml:space="preserve">Most likely explanation:</w:t>
      </w:r>
      <w:r>
        <w:t xml:space="preserve"> </w:t>
      </w:r>
      <w:r>
        <w:t xml:space="preserve">HCE2 is a hospital EHR product whose repo also hosts an earlier-phase carbon-credit prototype (or a parallel experiment). The carbon code is real but may be inactive / unowned / scheduled for extraction.</w:t>
      </w:r>
    </w:p>
    <w:p>
      <w:pPr>
        <w:pStyle w:val="BodyText"/>
      </w:pPr>
      <w:r>
        <w:rPr>
          <w:b/>
          <w:bCs/>
        </w:rPr>
        <w:t xml:space="preserve">Three resolution paths — user pick: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Confirm HCE2 carbon code is dead — out of scope.</w:t>
      </w:r>
      <w:r>
        <w:t xml:space="preserve"> </w:t>
      </w:r>
      <w:r>
        <w:t xml:space="preserve">Update CLAUDE.md to remove ambiguity; archive</w:t>
      </w:r>
      <w:r>
        <w:t xml:space="preserve"> </w:t>
      </w:r>
      <w:r>
        <w:rPr>
          <w:rStyle w:val="VerbatimChar"/>
        </w:rPr>
        <w:t xml:space="preserve">/contracts/carbon_credits/</w:t>
      </w:r>
      <w:r>
        <w:t xml:space="preserve">. Move to AWD2 + Aurex as planned.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Confirm HCE2 carbon code is alive — in scope alongside AWD2.</w:t>
      </w:r>
      <w:r>
        <w:t xml:space="preserve"> </w:t>
      </w:r>
      <w:r>
        <w:t xml:space="preserve">Treat HCE2 as a</w:t>
      </w:r>
      <w:r>
        <w:t xml:space="preserve"> </w:t>
      </w:r>
      <w:r>
        <w:rPr>
          <w:i/>
          <w:iCs/>
        </w:rPr>
        <w:t xml:space="preserve">third origination source</w:t>
      </w:r>
      <w:r>
        <w:t xml:space="preserve"> </w:t>
      </w:r>
      <w:r>
        <w:t xml:space="preserve">analogous to AWD2 (Sprint 4 D-track expanded). HCE2's ERC-20 must be migrated to ERC-721/1155 per B8 (BCR prohibits fungible tokens that drop Serial ID).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Extract HCE2 carbon code to its own repo.</w:t>
      </w:r>
      <w:r>
        <w:t xml:space="preserve"> </w:t>
      </w:r>
      <w:r>
        <w:t xml:space="preserve">Create a new</w:t>
      </w:r>
      <w:r>
        <w:t xml:space="preserve"> </w:t>
      </w:r>
      <w:r>
        <w:rPr>
          <w:rStyle w:val="VerbatimChar"/>
        </w:rPr>
        <w:t xml:space="preserve">Aurigraph-DLT-Corp/biocarbon-tokenization</w:t>
      </w:r>
      <w:r>
        <w:t xml:space="preserve"> </w:t>
      </w:r>
      <w:r>
        <w:t xml:space="preserve">repo, move</w:t>
      </w:r>
      <w:r>
        <w:t xml:space="preserve"> </w:t>
      </w:r>
      <w:r>
        <w:rPr>
          <w:rStyle w:val="VerbatimChar"/>
        </w:rPr>
        <w:t xml:space="preserve">contracts/carbon_credits/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carbon_estimation_agent</w:t>
      </w:r>
      <w:r>
        <w:t xml:space="preserve"> </w:t>
      </w:r>
      <w:r>
        <w:t xml:space="preserve">there, keep HCE2 as pure EHR.</w:t>
      </w:r>
    </w:p>
    <w:p>
      <w:pPr>
        <w:pStyle w:val="FirstParagraph"/>
      </w:pPr>
      <w:r>
        <w:rPr>
          <w:b/>
          <w:bCs/>
        </w:rPr>
        <w:t xml:space="preserve">Default in this plan:</w:t>
      </w:r>
      <w:r>
        <w:t xml:space="preserve"> </w:t>
      </w:r>
      <w:r>
        <w:t xml:space="preserve">Path 1 — HCE2 is out of scope until the user confirms otherwise. Sprint 4's AAT-D track has an optional</w:t>
      </w:r>
      <w:r>
        <w:t xml:space="preserve"> </w:t>
      </w:r>
      <w:r>
        <w:rPr>
          <w:b/>
          <w:bCs/>
        </w:rPr>
        <w:t xml:space="preserve">AAT-D6</w:t>
      </w:r>
      <w:r>
        <w:t xml:space="preserve"> </w:t>
      </w:r>
      <w:r>
        <w:t xml:space="preserve">(HCE2 ERC-20 → ERC-1155 migration) that activates only if path 2 is chosen.</w:t>
      </w:r>
    </w:p>
    <w:p>
      <w:pPr>
        <w:pStyle w:val="BodyText"/>
      </w:pPr>
      <w:r>
        <w:t xml:space="preserve">The rest of this analysis covers Aurex + AWD2 in detail; HCE2 references appear only in optional/conditional sections.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X018c60b950b09a0c1852836eb07cc17ecaee6da"/>
    <w:p>
      <w:pPr>
        <w:pStyle w:val="Heading2"/>
      </w:pPr>
      <w:r>
        <w:t xml:space="preserve">§0.5 Aurigraph DLT SDK pivot (2026-04-25)</w:t>
      </w:r>
    </w:p>
    <w:p>
      <w:pPr>
        <w:pStyle w:val="FirstParagraph"/>
      </w:pPr>
      <w:r>
        <w:t xml:space="preserve">After the initial gap analysis, the</w:t>
      </w:r>
      <w:r>
        <w:t xml:space="preserve"> </w:t>
      </w:r>
      <w:r>
        <w:rPr>
          <w:b/>
          <w:bCs/>
        </w:rPr>
        <w:t xml:space="preserve">Aurigraph DLT V12 SDK</w:t>
      </w:r>
      <w:r>
        <w:t xml:space="preserve"> </w:t>
      </w:r>
      <w:r>
        <w:t xml:space="preserve">was identified as the canonical chain integration. Repo:</w:t>
      </w:r>
      <w:r>
        <w:t xml:space="preserve"> </w:t>
      </w:r>
      <w:r>
        <w:rPr>
          <w:rStyle w:val="VerbatimChar"/>
        </w:rPr>
        <w:t xml:space="preserve">git@github.com:Aurigraph-DLT-Corp/Aurigraph-Developer-Toolkit-and-SDK.git</w:t>
      </w:r>
      <w:r>
        <w:t xml:space="preserve"> </w:t>
      </w:r>
      <w:r>
        <w:t xml:space="preserve">— version</w:t>
      </w:r>
      <w:r>
        <w:t xml:space="preserve"> </w:t>
      </w:r>
      <w:r>
        <w:rPr>
          <w:rStyle w:val="VerbatimChar"/>
        </w:rPr>
        <w:t xml:space="preserve">1.2.0</w:t>
      </w:r>
      <w:r>
        <w:t xml:space="preserve"> </w:t>
      </w:r>
      <w:r>
        <w:t xml:space="preserve">production for both Java + TypeScript.</w:t>
      </w:r>
    </w:p>
    <w:p>
      <w:pPr>
        <w:pStyle w:val="BodyText"/>
      </w:pPr>
      <w:r>
        <w:rPr>
          <w:b/>
          <w:bCs/>
        </w:rPr>
        <w:t xml:space="preserve">What the SDK ships out of the box: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client.contracts.deploy({templateId:'UC_CARBON', terms})</w:t>
      </w:r>
      <w:r>
        <w:t xml:space="preserve"> </w:t>
      </w:r>
      <w:r>
        <w:t xml:space="preserve">— atomic mint with carbon-credit Ricardian template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client.assets.listByUseCase('UC_CARBON')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client.assets.getPublicLedger('UC_CARBON')</w:t>
      </w:r>
      <w:r>
        <w:t xml:space="preserve"> </w:t>
      </w:r>
      <w:r>
        <w:t xml:space="preserve">— covers B14 (public registry transparency)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client.compliance.assess({assetId, frameworks:['VCM','EU_ETS','CBAM']})</w:t>
      </w:r>
      <w:r>
        <w:t xml:space="preserve"> </w:t>
      </w:r>
      <w:r>
        <w:t xml:space="preserve">— built-in regulatory framework assessment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client.dmrv.*</w:t>
      </w:r>
      <w:r>
        <w:t xml:space="preserve"> </w:t>
      </w:r>
      <w:r>
        <w:t xml:space="preserve">— DMRV verification primitives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client.tier.getQuota()</w:t>
      </w:r>
      <w:r>
        <w:t xml:space="preserve"> </w:t>
      </w:r>
      <w:r>
        <w:t xml:space="preserve">— tenant quota gating before mint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client.wallet.*</w:t>
      </w:r>
      <w:r>
        <w:t xml:space="preserve"> </w:t>
      </w:r>
      <w:r>
        <w:t xml:space="preserve">— balance / transfer / history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client.governance.*</w:t>
      </w:r>
      <w:r>
        <w:t xml:space="preserve"> </w:t>
      </w:r>
      <w:r>
        <w:t xml:space="preserve">— proposals, voting, treasury (cross-cutting)</w:t>
      </w:r>
    </w:p>
    <w:p>
      <w:pPr>
        <w:pStyle w:val="Compact"/>
        <w:numPr>
          <w:ilvl w:val="0"/>
          <w:numId w:val="1004"/>
        </w:numPr>
      </w:pPr>
      <w:r>
        <w:t xml:space="preserve">Channel-based multi-tenancy (</w:t>
      </w:r>
      <w:r>
        <w:rPr>
          <w:rStyle w:val="VerbatimChar"/>
        </w:rPr>
        <w:t xml:space="preserve">enterprise-channel</w:t>
      </w:r>
      <w:r>
        <w:t xml:space="preserve">,</w:t>
      </w:r>
      <w:r>
        <w:t xml:space="preserve"> </w:t>
      </w:r>
      <w:r>
        <w:rPr>
          <w:rStyle w:val="VerbatimChar"/>
        </w:rPr>
        <w:t xml:space="preserve">marketplace-channel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t xml:space="preserve">Hosted at</w:t>
      </w:r>
      <w:r>
        <w:t xml:space="preserve"> </w:t>
      </w:r>
      <w:r>
        <w:rPr>
          <w:rStyle w:val="VerbatimChar"/>
        </w:rPr>
        <w:t xml:space="preserve">https://dlt.aurigraph.io</w:t>
      </w:r>
      <w:r>
        <w:t xml:space="preserve"> </w:t>
      </w:r>
      <w:r>
        <w:t xml:space="preserve">— non-PoW (B19 ✓), purpose-built for sustainability (B23 ✓)</w:t>
      </w:r>
    </w:p>
    <w:p>
      <w:pPr>
        <w:pStyle w:val="FirstParagraph"/>
      </w:pPr>
      <w:r>
        <w:rPr>
          <w:b/>
          <w:bCs/>
        </w:rPr>
        <w:t xml:space="preserve">Effect on the plan: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Sprint 2 reframed.</w:t>
      </w:r>
      <w:r>
        <w:t xml:space="preserve"> </w:t>
      </w:r>
      <w:r>
        <w:t xml:space="preserve">Original Foundry / ERC-1155 / viem-on-Polygon path becomes a</w:t>
      </w:r>
      <w:r>
        <w:t xml:space="preserve"> </w:t>
      </w:r>
      <w:r>
        <w:rPr>
          <w:i/>
          <w:iCs/>
        </w:rPr>
        <w:t xml:space="preserve">fallback</w:t>
      </w:r>
      <w:r>
        <w:t xml:space="preserve"> </w:t>
      </w:r>
      <w:r>
        <w:t xml:space="preserve">chain implementation behind</w:t>
      </w:r>
      <w:r>
        <w:t xml:space="preserve"> </w:t>
      </w:r>
      <w:r>
        <w:rPr>
          <w:rStyle w:val="VerbatimChar"/>
        </w:rPr>
        <w:t xml:space="preserve">CHAIN_ADAPTER=polygon</w:t>
      </w:r>
      <w:r>
        <w:t xml:space="preserve">. Default:</w:t>
      </w:r>
      <w:r>
        <w:t xml:space="preserve"> </w:t>
      </w:r>
      <w:r>
        <w:rPr>
          <w:rStyle w:val="VerbatimChar"/>
        </w:rPr>
        <w:t xml:space="preserve">CHAIN_ADAPTER=aurigraph-dlt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Sprint 2 net effort drops from ~8 dev-weeks to ~5 dev-weeks (no Solidity to write or audit on the primary path).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B14, B19, B23 satisfied</w:t>
      </w:r>
      <w:r>
        <w:t xml:space="preserve"> </w:t>
      </w:r>
      <w:r>
        <w:t xml:space="preserve">by the SDK; only need a thin Aurex UI rendering layer for B14.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Compliance + DMRV</w:t>
      </w:r>
      <w:r>
        <w:t xml:space="preserve"> </w:t>
      </w:r>
      <w:r>
        <w:t xml:space="preserve">namespaces complement Aurex's existing flows (existing</w:t>
      </w:r>
      <w:r>
        <w:t xml:space="preserve"> </w:t>
      </w:r>
      <w:r>
        <w:rPr>
          <w:rStyle w:val="VerbatimChar"/>
        </w:rPr>
        <w:t xml:space="preserve">compliance.service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verification.service</w:t>
      </w:r>
      <w:r>
        <w:t xml:space="preserve"> </w:t>
      </w:r>
      <w:r>
        <w:t xml:space="preserve">keep ownership; SDK calls feed them).</w:t>
      </w:r>
    </w:p>
    <w:p>
      <w:pPr>
        <w:pStyle w:val="Compact"/>
        <w:numPr>
          <w:ilvl w:val="0"/>
          <w:numId w:val="1005"/>
        </w:numPr>
      </w:pPr>
      <w:r>
        <w:t xml:space="preserve">New stream</w:t>
      </w:r>
      <w:r>
        <w:t xml:space="preserve"> </w:t>
      </w:r>
      <w:r>
        <w:rPr>
          <w:b/>
          <w:bCs/>
        </w:rPr>
        <w:t xml:space="preserve">BCR/SDK</w:t>
      </w:r>
      <w:r>
        <w:t xml:space="preserve"> </w:t>
      </w:r>
      <w:r>
        <w:t xml:space="preserve">in the Epic (AV4-370..381) covers all SDK-specific work.</w:t>
      </w:r>
    </w:p>
    <w:p>
      <w:pPr>
        <w:pStyle w:val="Compact"/>
        <w:numPr>
          <w:ilvl w:val="0"/>
          <w:numId w:val="1005"/>
        </w:numPr>
      </w:pPr>
      <w:r>
        <w:t xml:space="preserve">Existing tickets AV4-349/350/351/353 supersession-commented and scope-narrowed.</w:t>
      </w:r>
    </w:p>
    <w:p>
      <w:pPr>
        <w:pStyle w:val="FirstParagraph"/>
      </w:pPr>
      <w:r>
        <w:rPr>
          <w:b/>
          <w:bCs/>
        </w:rPr>
        <w:t xml:space="preserve">One-line summary:</w:t>
      </w:r>
      <w:r>
        <w:t xml:space="preserve"> </w:t>
      </w:r>
      <w:r>
        <w:t xml:space="preserve">writing the Solidity contract was always the riskiest part of Sprint 2. The SDK takes that off the critical path entirely. We now write</w:t>
      </w:r>
      <w:r>
        <w:t xml:space="preserve"> </w:t>
      </w:r>
      <w:r>
        <w:rPr>
          <w:i/>
          <w:iCs/>
        </w:rPr>
        <w:t xml:space="preserve">adapter glue</w:t>
      </w:r>
      <w:r>
        <w:t xml:space="preserve">, not on-chain code.</w:t>
      </w:r>
    </w:p>
    <w:p>
      <w:r>
        <w:pict>
          <v:rect style="width:0;height:1.5pt" o:hralign="center" o:hrstd="t" o:hr="t"/>
        </w:pict>
      </w:r>
    </w:p>
    <w:bookmarkEnd w:id="14"/>
    <w:bookmarkStart w:id="17" w:name="Xee7d3499558217c75c199e84d5815ff61fa87a6"/>
    <w:p>
      <w:pPr>
        <w:pStyle w:val="Heading2"/>
      </w:pPr>
      <w:r>
        <w:t xml:space="preserve">1. Aurex (AurexV4) — gap matrix</w:t>
      </w:r>
    </w:p>
    <w:p>
      <w:pPr>
        <w:pStyle w:val="FirstParagraph"/>
      </w:pPr>
      <w:r>
        <w:rPr>
          <w:b/>
          <w:bCs/>
        </w:rPr>
        <w:t xml:space="preserve">Current state:</w:t>
      </w:r>
      <w:r>
        <w:t xml:space="preserve"> </w:t>
      </w:r>
      <w:r>
        <w:t xml:space="preserve">Phase A/B/C of Article 6.4 already shipped (commit</w:t>
      </w:r>
      <w:r>
        <w:t xml:space="preserve"> </w:t>
      </w:r>
      <w:r>
        <w:rPr>
          <w:rStyle w:val="VerbatimChar"/>
        </w:rPr>
        <w:t xml:space="preserve">9caacf2</w:t>
      </w:r>
      <w:r>
        <w:t xml:space="preserve"> </w:t>
      </w:r>
      <w:r>
        <w:t xml:space="preserve">+ retention + UNFCCC scaffold + PDD wizard + E2E). 14/14 live E2E pass. Existing primitives reusable for BCR work: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Activity</w:t>
      </w:r>
      <w:r>
        <w:t xml:space="preserve"> </w:t>
      </w:r>
      <w:r>
        <w:t xml:space="preserve">model — project-level mitigation activity with crediting period, methodology, host country (per A6.4).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Methodology</w:t>
      </w:r>
      <w:r>
        <w:t xml:space="preserve"> </w:t>
      </w:r>
      <w:r>
        <w:t xml:space="preserve">catalogue — read-only registry of methodologies (currently 8 A6.4-STAN-METH-* entries; can add BCR's VM0042 / VM0007 / etc.).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CreditUnitBlock</w:t>
      </w:r>
      <w:r>
        <w:t xml:space="preserve"> </w:t>
      </w:r>
      <w:r>
        <w:t xml:space="preserve">— 13-field registry-aligned schema with</w:t>
      </w:r>
      <w:r>
        <w:t xml:space="preserve"> </w:t>
      </w:r>
      <w:r>
        <w:rPr>
          <w:rStyle w:val="VerbatimChar"/>
        </w:rPr>
        <w:t xml:space="preserve">serialFirst</w:t>
      </w:r>
      <w:r>
        <w:t xml:space="preserve">/</w:t>
      </w:r>
      <w:r>
        <w:rPr>
          <w:rStyle w:val="VerbatimChar"/>
        </w:rPr>
        <w:t xml:space="preserve">serialLast</w:t>
      </w:r>
      <w:r>
        <w:t xml:space="preserve">,</w:t>
      </w:r>
      <w:r>
        <w:t xml:space="preserve"> </w:t>
      </w:r>
      <w:r>
        <w:rPr>
          <w:rStyle w:val="VerbatimChar"/>
        </w:rPr>
        <w:t xml:space="preserve">unitType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vintage</w:t>
      </w:r>
      <w:r>
        <w:t xml:space="preserve">,</w:t>
      </w:r>
      <w:r>
        <w:t xml:space="preserve"> </w:t>
      </w:r>
      <w:r>
        <w:rPr>
          <w:rStyle w:val="VerbatimChar"/>
        </w:rPr>
        <w:t xml:space="preserve">caStatus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retirementStatus</w:t>
      </w:r>
      <w:r>
        <w:t xml:space="preserve">.</w:t>
      </w:r>
      <w:r>
        <w:t xml:space="preserve"> </w:t>
      </w:r>
      <w:r>
        <w:rPr>
          <w:b/>
          <w:bCs/>
        </w:rPr>
        <w:t xml:space="preserve">Already supports the kind of metadata BCR's Serial ID requires.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Issuance</w:t>
      </w:r>
      <w:r>
        <w:t xml:space="preserve"> </w:t>
      </w:r>
      <w:r>
        <w:t xml:space="preserve">with SOP/OMGE levy semantics (transferable to BCR's lock-then-mint pattern).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Transaction</w:t>
      </w:r>
      <w:r>
        <w:t xml:space="preserve"> </w:t>
      </w:r>
      <w:r>
        <w:t xml:space="preserve">ledger (transfer + retirement + reversal).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CorrespondingAdjustmentEvent</w:t>
      </w:r>
      <w:r>
        <w:t xml:space="preserve"> </w:t>
      </w:r>
      <w:r>
        <w:t xml:space="preserve">— A6.4 mechanic, not directly applicable to BCR but the infrastructure for "external registry sync events" is reusable.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UnfcccRegistryAdapter</w:t>
      </w:r>
      <w:r>
        <w:t xml:space="preserve"> </w:t>
      </w:r>
      <w:r>
        <w:t xml:space="preserve">interface (AAT-5) — the adapter pattern is</w:t>
      </w:r>
      <w:r>
        <w:t xml:space="preserve"> </w:t>
      </w:r>
      <w:r>
        <w:rPr>
          <w:b/>
          <w:bCs/>
        </w:rPr>
        <w:t xml:space="preserve">directly reusable</w:t>
      </w:r>
      <w:r>
        <w:t xml:space="preserve"> </w:t>
      </w:r>
      <w:r>
        <w:t xml:space="preserve">for a</w:t>
      </w:r>
      <w:r>
        <w:t xml:space="preserve"> </w:t>
      </w:r>
      <w:r>
        <w:rPr>
          <w:rStyle w:val="VerbatimChar"/>
        </w:rPr>
        <w:t xml:space="preserve">BcrRegistryAdapter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DOE / DNA / SB_OBSERVER roles — DOE maps cleanly to BCR's third-party verifier role.</w:t>
      </w:r>
    </w:p>
    <w:p>
      <w:pPr>
        <w:pStyle w:val="Compact"/>
        <w:numPr>
          <w:ilvl w:val="0"/>
          <w:numId w:val="1006"/>
        </w:numPr>
      </w:pPr>
      <w:r>
        <w:t xml:space="preserve">Audit log + retention policy + BullMQ scheduling — reusable.</w:t>
      </w:r>
    </w:p>
    <w:bookmarkStart w:id="16" w:name="gap-matrix-per-binding-requirement"/>
    <w:p>
      <w:pPr>
        <w:pStyle w:val="Heading3"/>
      </w:pPr>
      <w:r>
        <w:t xml:space="preserve">Gap matrix per binding requirement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Binding requirement</w:t>
            </w:r>
          </w:p>
        </w:tc>
        <w:tc>
          <w:tcPr/>
          <w:p>
            <w:pPr>
              <w:pStyle w:val="Compact"/>
            </w:pPr>
            <w:r>
              <w:t xml:space="preserve">Aurex status</w:t>
            </w:r>
          </w:p>
        </w:tc>
        <w:tc>
          <w:tcPr/>
          <w:p>
            <w:pPr>
              <w:pStyle w:val="Compact"/>
            </w:pPr>
            <w:r>
              <w:t xml:space="preserve">Effort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B1</w:t>
            </w:r>
          </w:p>
        </w:tc>
        <w:tc>
          <w:tcPr/>
          <w:p>
            <w:pPr>
              <w:pStyle w:val="Compact"/>
            </w:pPr>
            <w:r>
              <w:t xml:space="preserve">Apply for BCR Third-Party authorisation</w:t>
            </w:r>
          </w:p>
        </w:tc>
        <w:tc>
          <w:tcPr/>
          <w:p>
            <w:pPr>
              <w:pStyle w:val="Compact"/>
            </w:pPr>
            <w:r>
              <w:t xml:space="preserve">❌ Not done</w:t>
            </w:r>
          </w:p>
        </w:tc>
        <w:tc>
          <w:tcPr/>
          <w:p>
            <w:pPr>
              <w:pStyle w:val="Compact"/>
            </w:pPr>
            <w:r>
              <w:t xml:space="preserve">S (operational)</w:t>
            </w:r>
          </w:p>
        </w:tc>
        <w:tc>
          <w:tcPr/>
          <w:p>
            <w:pPr>
              <w:pStyle w:val="Compact"/>
            </w:pPr>
            <w:r>
              <w:t xml:space="preserve">Email</w:t>
            </w:r>
            <w:r>
              <w:t xml:space="preserve"> </w:t>
            </w:r>
            <w:hyperlink r:id="rId15">
              <w:r>
                <w:rPr>
                  <w:rStyle w:val="Hyperlink"/>
                </w:rPr>
                <w:t xml:space="preserve">registry@biocarbonstandard.com</w:t>
              </w:r>
            </w:hyperlink>
            <w:r>
              <w:t xml:space="preserve"> </w:t>
            </w:r>
            <w:r>
              <w:t xml:space="preserve">+ business model + smart-contract docs + audit reports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B2</w:t>
            </w:r>
          </w:p>
        </w:tc>
        <w:tc>
          <w:tcPr/>
          <w:p>
            <w:pPr>
              <w:pStyle w:val="Compact"/>
            </w:pPr>
            <w:r>
              <w:t xml:space="preserve">Sign BCR Anticorruption-Bribery Policy + partnership agreement</w:t>
            </w:r>
          </w:p>
        </w:tc>
        <w:tc>
          <w:tcPr/>
          <w:p>
            <w:pPr>
              <w:pStyle w:val="Compact"/>
            </w:pPr>
            <w:r>
              <w:t xml:space="preserve">❌ Not done</w:t>
            </w:r>
          </w:p>
        </w:tc>
        <w:tc>
          <w:tcPr/>
          <w:p>
            <w:pPr>
              <w:pStyle w:val="Compact"/>
            </w:pPr>
            <w:r>
              <w:t xml:space="preserve">S (legal)</w:t>
            </w:r>
          </w:p>
        </w:tc>
        <w:tc>
          <w:tcPr/>
          <w:p>
            <w:pPr>
              <w:pStyle w:val="Compact"/>
            </w:pPr>
            <w:r>
              <w:t xml:space="preserve">Off-code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B3</w:t>
            </w:r>
          </w:p>
        </w:tc>
        <w:tc>
          <w:tcPr/>
          <w:p>
            <w:pPr>
              <w:pStyle w:val="Compact"/>
            </w:pPr>
            <w:r>
              <w:t xml:space="preserve">API integration with BCR registry — full lifecycle pass-through</w:t>
            </w:r>
          </w:p>
        </w:tc>
        <w:tc>
          <w:tcPr/>
          <w:p>
            <w:pPr>
              <w:pStyle w:val="Compact"/>
            </w:pPr>
            <w:r>
              <w:t xml:space="preserve">❌ Not done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New service</w:t>
            </w:r>
            <w:r>
              <w:t xml:space="preserve"> </w:t>
            </w:r>
            <w:r>
              <w:rPr>
                <w:rStyle w:val="VerbatimChar"/>
              </w:rPr>
              <w:t xml:space="preserve">bcr-registry.service.ts</w:t>
            </w:r>
            <w:r>
              <w:t xml:space="preserve"> </w:t>
            </w:r>
            <w:r>
              <w:t xml:space="preserve">mirroring</w:t>
            </w:r>
            <w:r>
              <w:t xml:space="preserve"> </w:t>
            </w:r>
            <w:r>
              <w:rPr>
                <w:rStyle w:val="VerbatimChar"/>
              </w:rPr>
              <w:t xml:space="preserve">UnfcccRegistryAdapter</w:t>
            </w:r>
            <w:r>
              <w:t xml:space="preserve"> </w:t>
            </w:r>
            <w:r>
              <w:t xml:space="preserve">shape; methods:</w:t>
            </w:r>
            <w:r>
              <w:t xml:space="preserve"> </w:t>
            </w:r>
            <w:r>
              <w:rPr>
                <w:rStyle w:val="VerbatimChar"/>
              </w:rPr>
              <w:t xml:space="preserve">lockVCC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confirmLock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notifyMint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notifyTransfer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notifyBurn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notifyRetire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notifyDelist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B4</w:t>
            </w:r>
          </w:p>
        </w:tc>
        <w:tc>
          <w:tcPr/>
          <w:p>
            <w:pPr>
              <w:pStyle w:val="Compact"/>
            </w:pPr>
            <w:r>
              <w:t xml:space="preserve">Become BCR Account Holder</w:t>
            </w:r>
          </w:p>
        </w:tc>
        <w:tc>
          <w:tcPr/>
          <w:p>
            <w:pPr>
              <w:pStyle w:val="Compact"/>
            </w:pPr>
            <w:r>
              <w:t xml:space="preserve">❌ Not done</w:t>
            </w:r>
          </w:p>
        </w:tc>
        <w:tc>
          <w:tcPr/>
          <w:p>
            <w:pPr>
              <w:pStyle w:val="Compact"/>
            </w:pPr>
            <w:r>
              <w:t xml:space="preserve">S (operational)</w:t>
            </w:r>
          </w:p>
        </w:tc>
        <w:tc>
          <w:tcPr/>
          <w:p>
            <w:pPr>
              <w:pStyle w:val="Compact"/>
            </w:pPr>
            <w:r>
              <w:t xml:space="preserve">Output of B1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B5</w:t>
            </w:r>
          </w:p>
        </w:tc>
        <w:tc>
          <w:tcPr/>
          <w:p>
            <w:pPr>
              <w:pStyle w:val="Compact"/>
            </w:pPr>
            <w:r>
              <w:t xml:space="preserve">Lock-then-mint sequencing</w:t>
            </w:r>
          </w:p>
        </w:tc>
        <w:tc>
          <w:tcPr/>
          <w:p>
            <w:pPr>
              <w:pStyle w:val="Compact"/>
            </w:pPr>
            <w:r>
              <w:t xml:space="preserve">⚠️ Partial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Issuance lifecycle exists but doesn't gate on a remote-lock confirmation. Add</w:t>
            </w:r>
            <w:r>
              <w:t xml:space="preserve"> </w:t>
            </w:r>
            <w:r>
              <w:rPr>
                <w:rStyle w:val="VerbatimChar"/>
              </w:rPr>
              <w:t xml:space="preserve">Issuance.bcrLockId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Issuance.bcrLockedAt</w:t>
            </w:r>
            <w:r>
              <w:t xml:space="preserve">; mint only fires after BCR API confirms lock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B6</w:t>
            </w:r>
          </w:p>
        </w:tc>
        <w:tc>
          <w:tcPr/>
          <w:p>
            <w:pPr>
              <w:pStyle w:val="Compact"/>
            </w:pPr>
            <w:r>
              <w:t xml:space="preserve">Embed BCR Serial ID in token metadata; preserve until burn</w:t>
            </w:r>
          </w:p>
        </w:tc>
        <w:tc>
          <w:tcPr/>
          <w:p>
            <w:pPr>
              <w:pStyle w:val="Compact"/>
            </w:pPr>
            <w:r>
              <w:t xml:space="preserve">⚠️ Partial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CreditUnitBlock.serialFirst</w:t>
            </w:r>
            <w:r>
              <w:t xml:space="preserve"> </w:t>
            </w:r>
            <w:r>
              <w:t xml:space="preserve">already exists; needs</w:t>
            </w:r>
            <w:r>
              <w:t xml:space="preserve"> </w:t>
            </w:r>
            <w:r>
              <w:rPr>
                <w:rStyle w:val="VerbatimChar"/>
              </w:rPr>
              <w:t xml:space="preserve">bcrSerialId String?</w:t>
            </w:r>
            <w:r>
              <w:t xml:space="preserve"> </w:t>
            </w:r>
            <w:r>
              <w:t xml:space="preserve">field + immutability check in update guards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B7</w:t>
            </w:r>
          </w:p>
        </w:tc>
        <w:tc>
          <w:tcPr/>
          <w:p>
            <w:pPr>
              <w:pStyle w:val="Compact"/>
            </w:pPr>
            <w:r>
              <w:t xml:space="preserve">One VCC = one token (1:1)</w:t>
            </w:r>
          </w:p>
        </w:tc>
        <w:tc>
          <w:tcPr/>
          <w:p>
            <w:pPr>
              <w:pStyle w:val="Compact"/>
            </w:pPr>
            <w:r>
              <w:t xml:space="preserve">⚠️ Partial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Integer-rounding logic already enforces whole-ton; need contract-level invariant on the on-chain side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B8</w:t>
            </w:r>
          </w:p>
        </w:tc>
        <w:tc>
          <w:tcPr/>
          <w:p>
            <w:pPr>
              <w:pStyle w:val="Compact"/>
            </w:pPr>
            <w:r>
              <w:t xml:space="preserve">NFT (ERC-721) or Semi-Fungible (ERC-1155) only</w:t>
            </w:r>
          </w:p>
        </w:tc>
        <w:tc>
          <w:tcPr/>
          <w:p>
            <w:pPr>
              <w:pStyle w:val="Compact"/>
            </w:pPr>
            <w:r>
              <w:t xml:space="preserve">❌ Missing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</w:t>
            </w:r>
          </w:p>
        </w:tc>
        <w:tc>
          <w:tcPr/>
          <w:p>
            <w:pPr>
              <w:pStyle w:val="Compact"/>
            </w:pPr>
            <w:r>
              <w:t xml:space="preserve">No on-chain code today. Recommend ERC-1155 SFT (one ID per VCC batch with whole-ton balance)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B9</w:t>
            </w:r>
          </w:p>
        </w:tc>
        <w:tc>
          <w:tcPr/>
          <w:p>
            <w:pPr>
              <w:pStyle w:val="Compact"/>
            </w:pPr>
            <w:r>
              <w:t xml:space="preserve">No pooling across projects</w:t>
            </w:r>
          </w:p>
        </w:tc>
        <w:tc>
          <w:tcPr/>
          <w:p>
            <w:pPr>
              <w:pStyle w:val="Compact"/>
            </w:pPr>
            <w:r>
              <w:t xml:space="preserve">✅ Already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Each Activity is independent; no pooling implementation exists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B10</w:t>
            </w:r>
          </w:p>
        </w:tc>
        <w:tc>
          <w:tcPr/>
          <w:p>
            <w:pPr>
              <w:pStyle w:val="Compact"/>
            </w:pPr>
            <w:r>
              <w:t xml:space="preserve">No attribute-stripping wrapping</w:t>
            </w:r>
          </w:p>
        </w:tc>
        <w:tc>
          <w:tcPr/>
          <w:p>
            <w:pPr>
              <w:pStyle w:val="Compact"/>
            </w:pPr>
            <w:r>
              <w:t xml:space="preserve">✅ Already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No wrap mechanics in code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B11</w:t>
            </w:r>
          </w:p>
        </w:tc>
        <w:tc>
          <w:tcPr/>
          <w:p>
            <w:pPr>
              <w:pStyle w:val="Compact"/>
            </w:pPr>
            <w:r>
              <w:t xml:space="preserve">No sub-ton fractionalisation</w:t>
            </w:r>
          </w:p>
        </w:tc>
        <w:tc>
          <w:tcPr/>
          <w:p>
            <w:pPr>
              <w:pStyle w:val="Compact"/>
            </w:pPr>
            <w:r>
              <w:t xml:space="preserve">✅ Already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Whole-ton enforcement in</w:t>
            </w:r>
            <w:r>
              <w:t xml:space="preserve"> </w:t>
            </w:r>
            <w:r>
              <w:rPr>
                <w:rStyle w:val="VerbatimChar"/>
              </w:rPr>
              <w:t xml:space="preserve">er-calc.service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issuance.service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B12</w:t>
            </w:r>
          </w:p>
        </w:tc>
        <w:tc>
          <w:tcPr/>
          <w:p>
            <w:pPr>
              <w:pStyle w:val="Compact"/>
            </w:pPr>
            <w:r>
              <w:t xml:space="preserve">No tokenising already-retired credits</w:t>
            </w:r>
          </w:p>
        </w:tc>
        <w:tc>
          <w:tcPr/>
          <w:p>
            <w:pPr>
              <w:pStyle w:val="Compact"/>
            </w:pPr>
            <w:r>
              <w:t xml:space="preserve">⚠️ Partial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Existing</w:t>
            </w:r>
            <w:r>
              <w:t xml:space="preserve"> </w:t>
            </w:r>
            <w:r>
              <w:rPr>
                <w:rStyle w:val="VerbatimChar"/>
              </w:rPr>
              <w:t xml:space="preserve">retirementStatus !== ACTIVE</w:t>
            </w:r>
            <w:r>
              <w:t xml:space="preserve"> </w:t>
            </w:r>
            <w:r>
              <w:t xml:space="preserve">checks; need pre-mint guard that includes BCR's lock 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B13</w:t>
            </w:r>
          </w:p>
        </w:tc>
        <w:tc>
          <w:tcPr/>
          <w:p>
            <w:pPr>
              <w:pStyle w:val="Compact"/>
            </w:pPr>
            <w:r>
              <w:t xml:space="preserve">Listing UI: project / visuals / page link / "BioCarbon" attribution</w:t>
            </w:r>
          </w:p>
        </w:tc>
        <w:tc>
          <w:tcPr/>
          <w:p>
            <w:pPr>
              <w:pStyle w:val="Compact"/>
            </w:pPr>
            <w:r>
              <w:t xml:space="preserve">❌ Missing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New marketplace page; can extend existing</w:t>
            </w:r>
            <w:r>
              <w:t xml:space="preserve"> </w:t>
            </w:r>
            <w:r>
              <w:rPr>
                <w:rStyle w:val="VerbatimChar"/>
              </w:rPr>
              <w:t xml:space="preserve">/credits</w:t>
            </w:r>
            <w:r>
              <w:t xml:space="preserve"> </w:t>
            </w:r>
            <w:r>
              <w:t xml:space="preserve">UI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B14</w:t>
            </w:r>
          </w:p>
        </w:tc>
        <w:tc>
          <w:tcPr/>
          <w:p>
            <w:pPr>
              <w:pStyle w:val="Compact"/>
            </w:pPr>
            <w:r>
              <w:t xml:space="preserve">Public token registry / inventory + history UI</w:t>
            </w:r>
          </w:p>
        </w:tc>
        <w:tc>
          <w:tcPr/>
          <w:p>
            <w:pPr>
              <w:pStyle w:val="Compact"/>
            </w:pPr>
            <w:r>
              <w:t xml:space="preserve">⚠️ Partial →</w:t>
            </w:r>
            <w:r>
              <w:t xml:space="preserve"> </w:t>
            </w:r>
            <w:r>
              <w:rPr>
                <w:b/>
                <w:bCs/>
              </w:rPr>
              <w:t xml:space="preserve">SDK-assisted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client.assets.getPublicLedger('UC_CARBON')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client.assets.listByUseCase('UC_CARBON')</w:t>
            </w:r>
            <w:r>
              <w:t xml:space="preserve"> </w:t>
            </w:r>
            <w:r>
              <w:t xml:space="preserve">ship out of the box. Aurex marketplace UI just renders these.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B15</w:t>
            </w:r>
          </w:p>
        </w:tc>
        <w:tc>
          <w:tcPr/>
          <w:p>
            <w:pPr>
              <w:pStyle w:val="Compact"/>
            </w:pPr>
            <w:r>
              <w:t xml:space="preserve">KYC / CDD / AML / CTF + tax compliance</w:t>
            </w:r>
          </w:p>
        </w:tc>
        <w:tc>
          <w:tcPr/>
          <w:p>
            <w:pPr>
              <w:pStyle w:val="Compact"/>
            </w:pPr>
            <w:r>
              <w:t xml:space="preserve">❌ Missing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</w:t>
            </w:r>
          </w:p>
        </w:tc>
        <w:tc>
          <w:tcPr/>
          <w:p>
            <w:pPr>
              <w:pStyle w:val="Compact"/>
            </w:pPr>
            <w:r>
              <w:t xml:space="preserve">New:</w:t>
            </w:r>
            <w:r>
              <w:t xml:space="preserve"> </w:t>
            </w:r>
            <w:r>
              <w:rPr>
                <w:rStyle w:val="VerbatimChar"/>
              </w:rPr>
              <w:t xml:space="preserve">KycVerification</w:t>
            </w:r>
            <w:r>
              <w:t xml:space="preserve"> </w:t>
            </w:r>
            <w:r>
              <w:t xml:space="preserve">model + adapter for Sumsub/Onfido/Persona; gate on transfer/retirement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B16</w:t>
            </w:r>
          </w:p>
        </w:tc>
        <w:tc>
          <w:tcPr/>
          <w:p>
            <w:pPr>
              <w:pStyle w:val="Compact"/>
            </w:pPr>
            <w:r>
              <w:t xml:space="preserve">Beneficiary identity verification + pass-through to BCR on retirement</w:t>
            </w:r>
          </w:p>
        </w:tc>
        <w:tc>
          <w:tcPr/>
          <w:p>
            <w:pPr>
              <w:pStyle w:val="Compact"/>
            </w:pPr>
            <w:r>
              <w:t xml:space="preserve">⚠️ Partial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Retirement narrative exists; needs structured</w:t>
            </w:r>
            <w:r>
              <w:t xml:space="preserve"> </w:t>
            </w:r>
            <w:r>
              <w:rPr>
                <w:rStyle w:val="VerbatimChar"/>
              </w:rPr>
              <w:t xml:space="preserve">RetirementBeneficiary</w:t>
            </w:r>
            <w:r>
              <w:t xml:space="preserve"> </w:t>
            </w:r>
            <w:r>
              <w:t xml:space="preserve">with verified-identity link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B17</w:t>
            </w:r>
          </w:p>
        </w:tc>
        <w:tc>
          <w:tcPr/>
          <w:p>
            <w:pPr>
              <w:pStyle w:val="Compact"/>
            </w:pPr>
            <w:r>
              <w:t xml:space="preserve">Burn-on-retirement → BCR API call</w:t>
            </w:r>
          </w:p>
        </w:tc>
        <w:tc>
          <w:tcPr/>
          <w:p>
            <w:pPr>
              <w:pStyle w:val="Compact"/>
            </w:pPr>
            <w:r>
              <w:t xml:space="preserve">⚠️ Partial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transaction.service.retireBlock</w:t>
            </w:r>
            <w:r>
              <w:t xml:space="preserve"> </w:t>
            </w:r>
            <w:r>
              <w:t xml:space="preserve">already routes to retirement admin accounts; needs to add the BCR API call (via the new B3 adapter)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B18</w:t>
            </w:r>
          </w:p>
        </w:tc>
        <w:tc>
          <w:tcPr/>
          <w:p>
            <w:pPr>
              <w:pStyle w:val="Compact"/>
            </w:pPr>
            <w:r>
              <w:t xml:space="preserve">Two-way bridge (delist path)</w:t>
            </w:r>
          </w:p>
        </w:tc>
        <w:tc>
          <w:tcPr/>
          <w:p>
            <w:pPr>
              <w:pStyle w:val="Compact"/>
            </w:pPr>
            <w:r>
              <w:t xml:space="preserve">❌ Missing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  <w:r>
              <w:t xml:space="preserve"> </w:t>
            </w:r>
            <w:r>
              <w:rPr>
                <w:rStyle w:val="VerbatimChar"/>
              </w:rPr>
              <w:t xml:space="preserve">delistBlock</w:t>
            </w:r>
            <w:r>
              <w:t xml:space="preserve"> </w:t>
            </w:r>
            <w:r>
              <w:t xml:space="preserve">operation that burns the token AND calls BCR</w:t>
            </w:r>
            <w:r>
              <w:t xml:space="preserve"> </w:t>
            </w:r>
            <w:r>
              <w:rPr>
                <w:rStyle w:val="VerbatimChar"/>
              </w:rPr>
              <w:t xml:space="preserve">unlockVCC</w:t>
            </w:r>
            <w:r>
              <w:t xml:space="preserve"> </w:t>
            </w:r>
            <w:r>
              <w:t xml:space="preserve">— symmetric to retirement but reverses to ISSUED state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B19</w:t>
            </w:r>
          </w:p>
        </w:tc>
        <w:tc>
          <w:tcPr/>
          <w:p>
            <w:pPr>
              <w:pStyle w:val="Compact"/>
            </w:pPr>
            <w:r>
              <w:t xml:space="preserve">Energy-efficient (non-PoW) blockchain</w:t>
            </w:r>
          </w:p>
        </w:tc>
        <w:tc>
          <w:tcPr/>
          <w:p>
            <w:pPr>
              <w:pStyle w:val="Compact"/>
            </w:pPr>
            <w:r>
              <w:t xml:space="preserve">✅ via SDK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Aurigraph DLT V12 is permissioned/PoA, hosted at dlt.aurigraph.io. Polygon PoS available as fallback (</w:t>
            </w:r>
            <w:r>
              <w:rPr>
                <w:rStyle w:val="VerbatimChar"/>
              </w:rPr>
              <w:t xml:space="preserve">CHAIN_ADAPTER=polygon</w:t>
            </w:r>
            <w:r>
              <w:t xml:space="preserve">). Decision:</w:t>
            </w:r>
            <w:r>
              <w:t xml:space="preserve"> </w:t>
            </w:r>
            <w:r>
              <w:rPr>
                <w:b/>
                <w:bCs/>
              </w:rPr>
              <w:t xml:space="preserve">default Aurigraph DLT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B20</w:t>
            </w:r>
          </w:p>
        </w:tc>
        <w:tc>
          <w:tcPr/>
          <w:p>
            <w:pPr>
              <w:pStyle w:val="Compact"/>
            </w:pPr>
            <w:r>
              <w:t xml:space="preserve">Notify BCR of changes</w:t>
            </w:r>
          </w:p>
        </w:tc>
        <w:tc>
          <w:tcPr/>
          <w:p>
            <w:pPr>
              <w:pStyle w:val="Compact"/>
            </w:pPr>
            <w:r>
              <w:t xml:space="preserve">❌ Not done</w:t>
            </w:r>
          </w:p>
        </w:tc>
        <w:tc>
          <w:tcPr/>
          <w:p>
            <w:pPr>
              <w:pStyle w:val="Compact"/>
            </w:pPr>
            <w:r>
              <w:t xml:space="preserve">S (process)</w:t>
            </w:r>
          </w:p>
        </w:tc>
        <w:tc>
          <w:tcPr/>
          <w:p>
            <w:pPr>
              <w:pStyle w:val="Compact"/>
            </w:pPr>
            <w:r>
              <w:t xml:space="preserve">Change-management runbook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B21</w:t>
            </w:r>
          </w:p>
        </w:tc>
        <w:tc>
          <w:tcPr/>
          <w:p>
            <w:pPr>
              <w:pStyle w:val="Compact"/>
            </w:pPr>
            <w:r>
              <w:t xml:space="preserve">Disclose multi-chain tokenisation + double-counting controls at application</w:t>
            </w:r>
          </w:p>
        </w:tc>
        <w:tc>
          <w:tcPr/>
          <w:p>
            <w:pPr>
              <w:pStyle w:val="Compact"/>
            </w:pPr>
            <w:r>
              <w:t xml:space="preserve">❌ Not done</w:t>
            </w:r>
          </w:p>
        </w:tc>
        <w:tc>
          <w:tcPr/>
          <w:p>
            <w:pPr>
              <w:pStyle w:val="Compact"/>
            </w:pPr>
            <w:r>
              <w:t xml:space="preserve">S (doc)</w:t>
            </w:r>
          </w:p>
        </w:tc>
        <w:tc>
          <w:tcPr/>
          <w:p>
            <w:pPr>
              <w:pStyle w:val="Compact"/>
            </w:pPr>
            <w:r>
              <w:t xml:space="preserve">Architecture doc submitted to BCR with B1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B22</w:t>
            </w:r>
          </w:p>
        </w:tc>
        <w:tc>
          <w:tcPr/>
          <w:p>
            <w:pPr>
              <w:pStyle w:val="Compact"/>
            </w:pPr>
            <w:r>
              <w:t xml:space="preserve">Local legal classification</w:t>
            </w:r>
          </w:p>
        </w:tc>
        <w:tc>
          <w:tcPr/>
          <w:p>
            <w:pPr>
              <w:pStyle w:val="Compact"/>
            </w:pPr>
            <w:r>
              <w:t xml:space="preserve">❌ Not done</w:t>
            </w:r>
          </w:p>
        </w:tc>
        <w:tc>
          <w:tcPr/>
          <w:p>
            <w:pPr>
              <w:pStyle w:val="Compact"/>
            </w:pPr>
            <w:r>
              <w:t xml:space="preserve">S (legal)</w:t>
            </w:r>
          </w:p>
        </w:tc>
        <w:tc>
          <w:tcPr/>
          <w:p>
            <w:pPr>
              <w:pStyle w:val="Compact"/>
            </w:pPr>
            <w:r>
              <w:t xml:space="preserve">Per-jurisdiction review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B23</w:t>
            </w:r>
          </w:p>
        </w:tc>
        <w:tc>
          <w:tcPr/>
          <w:p>
            <w:pPr>
              <w:pStyle w:val="Compact"/>
            </w:pPr>
            <w:r>
              <w:t xml:space="preserve">Token used solely for environmental sustainability</w:t>
            </w:r>
          </w:p>
        </w:tc>
        <w:tc>
          <w:tcPr/>
          <w:p>
            <w:pPr>
              <w:pStyle w:val="Compact"/>
            </w:pPr>
            <w:r>
              <w:t xml:space="preserve">✅ By design + SDK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SDK's</w:t>
            </w:r>
            <w:r>
              <w:t xml:space="preserve"> </w:t>
            </w:r>
            <w:r>
              <w:rPr>
                <w:rStyle w:val="VerbatimChar"/>
              </w:rPr>
              <w:t xml:space="preserve">UC_CARBON</w:t>
            </w:r>
            <w:r>
              <w:t xml:space="preserve"> </w:t>
            </w:r>
            <w:r>
              <w:t xml:space="preserve">use case is explicitly carbon-only. Tier capability check (</w:t>
            </w:r>
            <w:r>
              <w:rPr>
                <w:rStyle w:val="VerbatimChar"/>
              </w:rPr>
              <w:t xml:space="preserve">client.handshake.capabilities()</w:t>
            </w:r>
            <w:r>
              <w:t xml:space="preserve">) gates access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B24</w:t>
            </w:r>
          </w:p>
        </w:tc>
        <w:tc>
          <w:tcPr/>
          <w:p>
            <w:pPr>
              <w:pStyle w:val="Compact"/>
            </w:pPr>
            <w:r>
              <w:t xml:space="preserve">Submit to BCR audit</w:t>
            </w:r>
          </w:p>
        </w:tc>
        <w:tc>
          <w:tcPr/>
          <w:p>
            <w:pPr>
              <w:pStyle w:val="Compact"/>
            </w:pPr>
            <w:r>
              <w:t xml:space="preserve">❌ Not done</w:t>
            </w:r>
          </w:p>
        </w:tc>
        <w:tc>
          <w:tcPr/>
          <w:p>
            <w:pPr>
              <w:pStyle w:val="Compact"/>
            </w:pPr>
            <w:r>
              <w:t xml:space="preserve">S (process)</w:t>
            </w:r>
          </w:p>
        </w:tc>
        <w:tc>
          <w:tcPr/>
          <w:p>
            <w:pPr>
              <w:pStyle w:val="Compact"/>
            </w:pPr>
            <w:r>
              <w:t xml:space="preserve">Audit cooperation SOP</w:t>
            </w:r>
          </w:p>
        </w:tc>
      </w:tr>
    </w:tbl>
    <w:p>
      <w:pPr>
        <w:pStyle w:val="BodyText"/>
      </w:pPr>
      <w:r>
        <w:rPr>
          <w:b/>
          <w:bCs/>
        </w:rPr>
        <w:t xml:space="preserve">Aurex effort total (engineering only, excluding ops/legal):</w:t>
      </w:r>
      <w:r>
        <w:t xml:space="preserve"> </w:t>
      </w:r>
      <w:r>
        <w:t xml:space="preserve">~10 dev-weeks for 1 engineer; ~5 calendar weeks with 2 engineers in parallel.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0" w:name="X8d6728533d3187d6407d09f431f815e484f3c1c"/>
    <w:p>
      <w:pPr>
        <w:pStyle w:val="Heading2"/>
      </w:pPr>
      <w:r>
        <w:t xml:space="preserve">2. AWD2 — gap matrix</w:t>
      </w:r>
    </w:p>
    <w:p>
      <w:pPr>
        <w:pStyle w:val="FirstParagraph"/>
      </w:pPr>
      <w:r>
        <w:rPr>
          <w:b/>
          <w:bCs/>
        </w:rPr>
        <w:t xml:space="preserve">Current state (corrected after deeper survey):</w:t>
      </w:r>
      <w:r>
        <w:t xml:space="preserve"> </w:t>
      </w:r>
      <w:r>
        <w:t xml:space="preserve">Next.js 16 + Prisma + PostgreSQL + MinIO + Redis</w:t>
      </w:r>
      <w:r>
        <w:t xml:space="preserve"> </w:t>
      </w:r>
      <w:r>
        <w:rPr>
          <w:b/>
          <w:bCs/>
        </w:rPr>
        <w:t xml:space="preserve">plus</w:t>
      </w:r>
      <w:r>
        <w:t xml:space="preserve"> </w:t>
      </w:r>
      <w:r>
        <w:t xml:space="preserve">Solidity 0.8.19 + Hardhat at</w:t>
      </w:r>
      <w:r>
        <w:t xml:space="preserve"> </w:t>
      </w:r>
      <w:r>
        <w:rPr>
          <w:rStyle w:val="VerbatimChar"/>
        </w:rPr>
        <w:t xml:space="preserve">/AWD1-1/contracts/contracts/</w:t>
      </w:r>
      <w:r>
        <w:t xml:space="preserve"> </w:t>
      </w:r>
      <w:r>
        <w:t xml:space="preserve">(the AWD codebase splits across</w:t>
      </w:r>
      <w:r>
        <w:t xml:space="preserve"> </w:t>
      </w:r>
      <w:r>
        <w:rPr>
          <w:rStyle w:val="VerbatimChar"/>
        </w:rPr>
        <w:t xml:space="preserve">AWD2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AWD1-1</w:t>
      </w:r>
      <w:r>
        <w:t xml:space="preserve"> </w:t>
      </w:r>
      <w:r>
        <w:t xml:space="preserve">for legacy contract artefacts). Farmer-centric agricultural carbon platform with 8-role RBAC, file-migration audit, GHG calculations (VM0042), approval workflows.</w:t>
      </w:r>
    </w:p>
    <w:p>
      <w:pPr>
        <w:pStyle w:val="BodyText"/>
      </w:pPr>
      <w:r>
        <w:rPr>
          <w:b/>
          <w:bCs/>
        </w:rPr>
        <w:t xml:space="preserve">Carbon-credit infrastructure already shipped: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CarbonCreditNFT.sol</w:t>
      </w:r>
      <w:r>
        <w:t xml:space="preserve"> </w:t>
      </w:r>
      <w:r>
        <w:t xml:space="preserve">— ERC-721 NFT-per-credit on Polygon mainnet + Mumbai testnet. Per-token</w:t>
      </w:r>
      <w:r>
        <w:t xml:space="preserve"> </w:t>
      </w:r>
      <w:r>
        <w:rPr>
          <w:rStyle w:val="VerbatimChar"/>
        </w:rPr>
        <w:t xml:space="preserve">CarbonCredit</w:t>
      </w:r>
      <w:r>
        <w:t xml:space="preserve"> </w:t>
      </w:r>
      <w:r>
        <w:t xml:space="preserve">struct:</w:t>
      </w:r>
      <w:r>
        <w:t xml:space="preserve"> </w:t>
      </w:r>
      <w:r>
        <w:rPr>
          <w:rStyle w:val="VerbatimChar"/>
        </w:rPr>
        <w:t xml:space="preserve">creditId</w:t>
      </w:r>
      <w:r>
        <w:t xml:space="preserve">,</w:t>
      </w:r>
      <w:r>
        <w:t xml:space="preserve"> </w:t>
      </w:r>
      <w:r>
        <w:rPr>
          <w:rStyle w:val="VerbatimChar"/>
        </w:rPr>
        <w:t xml:space="preserve">farmer</w:t>
      </w:r>
      <w:r>
        <w:t xml:space="preserve">,</w:t>
      </w:r>
      <w:r>
        <w:t xml:space="preserve"> </w:t>
      </w:r>
      <w:r>
        <w:rPr>
          <w:rStyle w:val="VerbatimChar"/>
        </w:rPr>
        <w:t xml:space="preserve">creditsAmount</w:t>
      </w:r>
      <w:r>
        <w:t xml:space="preserve"> </w:t>
      </w:r>
      <w:r>
        <w:t xml:space="preserve">(kg×1000),</w:t>
      </w:r>
      <w:r>
        <w:t xml:space="preserve"> </w:t>
      </w:r>
      <w:r>
        <w:rPr>
          <w:rStyle w:val="VerbatimChar"/>
        </w:rPr>
        <w:t xml:space="preserve">vintageYear</w:t>
      </w:r>
      <w:r>
        <w:t xml:space="preserve">,</w:t>
      </w:r>
      <w:r>
        <w:t xml:space="preserve"> </w:t>
      </w:r>
      <w:r>
        <w:rPr>
          <w:rStyle w:val="VerbatimChar"/>
        </w:rPr>
        <w:t xml:space="preserve">projectName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issuanceDate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isRetired</w:t>
      </w:r>
      <w:r>
        <w:t xml:space="preserve">,</w:t>
      </w:r>
      <w:r>
        <w:t xml:space="preserve"> </w:t>
      </w:r>
      <w:r>
        <w:rPr>
          <w:rStyle w:val="VerbatimChar"/>
        </w:rPr>
        <w:t xml:space="preserve">retirementDate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retirementReason</w:t>
      </w:r>
      <w:r>
        <w:t xml:space="preserve">,</w:t>
      </w:r>
      <w:r>
        <w:t xml:space="preserve"> </w:t>
      </w:r>
      <w:r>
        <w:rPr>
          <w:rStyle w:val="VerbatimChar"/>
        </w:rPr>
        <w:t xml:space="preserve">retiredBy</w:t>
      </w:r>
      <w:r>
        <w:t xml:space="preserve">. Mint gated by</w:t>
      </w:r>
      <w:r>
        <w:t xml:space="preserve"> </w:t>
      </w:r>
      <w:r>
        <w:rPr>
          <w:rStyle w:val="VerbatimChar"/>
        </w:rPr>
        <w:t xml:space="preserve">onlyAuthorizedMinter</w:t>
      </w:r>
      <w:r>
        <w:t xml:space="preserve">; retire by token owner; transfer hooks update</w:t>
      </w:r>
      <w:r>
        <w:t xml:space="preserve"> </w:t>
      </w:r>
      <w:r>
        <w:rPr>
          <w:rStyle w:val="VerbatimChar"/>
        </w:rPr>
        <w:t xml:space="preserve">farmerTokens[]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DMRVVerification.sol</w:t>
      </w:r>
      <w:r>
        <w:t xml:space="preserve"> </w:t>
      </w:r>
      <w:r>
        <w:t xml:space="preserve">— separate contract for DMRV reports with</w:t>
      </w:r>
      <w:r>
        <w:t xml:space="preserve"> </w:t>
      </w:r>
      <w:r>
        <w:rPr>
          <w:rStyle w:val="VerbatimChar"/>
        </w:rPr>
        <w:t xml:space="preserve">reportId</w:t>
      </w:r>
      <w:r>
        <w:t xml:space="preserve">,</w:t>
      </w:r>
      <w:r>
        <w:t xml:space="preserve"> </w:t>
      </w:r>
      <w:r>
        <w:rPr>
          <w:rStyle w:val="VerbatimChar"/>
        </w:rPr>
        <w:t xml:space="preserve">reportHash</w:t>
      </w:r>
      <w:r>
        <w:t xml:space="preserve"> </w:t>
      </w:r>
      <w:r>
        <w:t xml:space="preserve">(SHA-256),</w:t>
      </w:r>
      <w:r>
        <w:t xml:space="preserve"> </w:t>
      </w:r>
      <w:r>
        <w:rPr>
          <w:rStyle w:val="VerbatimChar"/>
        </w:rPr>
        <w:t xml:space="preserve">waterSaved</w:t>
      </w:r>
      <w:r>
        <w:t xml:space="preserve">,</w:t>
      </w:r>
      <w:r>
        <w:t xml:space="preserve"> </w:t>
      </w:r>
      <w:r>
        <w:rPr>
          <w:rStyle w:val="VerbatimChar"/>
        </w:rPr>
        <w:t xml:space="preserve">carbonSequestered</w:t>
      </w:r>
      <w:r>
        <w:t xml:space="preserve">,</w:t>
      </w:r>
      <w:r>
        <w:t xml:space="preserve"> </w:t>
      </w:r>
      <w:r>
        <w:rPr>
          <w:rStyle w:val="VerbatimChar"/>
        </w:rPr>
        <w:t xml:space="preserve">verifier</w:t>
      </w:r>
      <w:r>
        <w:t xml:space="preserve">,</w:t>
      </w:r>
      <w:r>
        <w:t xml:space="preserve"> </w:t>
      </w:r>
      <w:r>
        <w:rPr>
          <w:rStyle w:val="VerbatimChar"/>
        </w:rPr>
        <w:t xml:space="preserve">verified</w:t>
      </w:r>
      <w:r>
        <w:t xml:space="preserve">,</w:t>
      </w:r>
      <w:r>
        <w:t xml:space="preserve"> </w:t>
      </w:r>
      <w:r>
        <w:rPr>
          <w:rStyle w:val="VerbatimChar"/>
        </w:rPr>
        <w:t xml:space="preserve">blockNumber</w:t>
      </w:r>
      <w:r>
        <w:t xml:space="preserve">. Two-step submit + verify flow.</w:t>
      </w:r>
    </w:p>
    <w:p>
      <w:pPr>
        <w:pStyle w:val="Compact"/>
        <w:numPr>
          <w:ilvl w:val="0"/>
          <w:numId w:val="1007"/>
        </w:numPr>
      </w:pPr>
      <w:r>
        <w:t xml:space="preserve">Prisma</w:t>
      </w:r>
      <w:r>
        <w:t xml:space="preserve"> </w:t>
      </w:r>
      <w:r>
        <w:rPr>
          <w:rStyle w:val="VerbatimChar"/>
        </w:rPr>
        <w:t xml:space="preserve">CarbonCredit</w:t>
      </w:r>
      <w:r>
        <w:t xml:space="preserve"> </w:t>
      </w:r>
      <w:r>
        <w:t xml:space="preserve">model with</w:t>
      </w:r>
      <w:r>
        <w:t xml:space="preserve"> </w:t>
      </w:r>
      <w:r>
        <w:rPr>
          <w:rStyle w:val="VerbatimChar"/>
        </w:rPr>
        <w:t xml:space="preserve">creditCode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methodology</w:t>
      </w:r>
      <w:r>
        <w:t xml:space="preserve">,</w:t>
      </w:r>
      <w:r>
        <w:t xml:space="preserve"> </w:t>
      </w:r>
      <w:r>
        <w:rPr>
          <w:rStyle w:val="VerbatimChar"/>
        </w:rPr>
        <w:t xml:space="preserve">methodologyVersion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vvbVerified</w:t>
      </w:r>
      <w:r>
        <w:t xml:space="preserve">,</w:t>
      </w:r>
      <w:r>
        <w:t xml:space="preserve"> </w:t>
      </w:r>
      <w:r>
        <w:rPr>
          <w:rStyle w:val="VerbatimChar"/>
        </w:rPr>
        <w:t xml:space="preserve">vvbCertificateUrl</w:t>
      </w:r>
      <w:r>
        <w:t xml:space="preserve">,</w:t>
      </w:r>
      <w:r>
        <w:t xml:space="preserve"> </w:t>
      </w:r>
      <w:r>
        <w:rPr>
          <w:rStyle w:val="VerbatimChar"/>
        </w:rPr>
        <w:t xml:space="preserve">registryId</w:t>
      </w:r>
      <w:r>
        <w:t xml:space="preserve"> </w:t>
      </w:r>
      <w:r>
        <w:t xml:space="preserve">(placeholder),</w:t>
      </w:r>
      <w:r>
        <w:t xml:space="preserve"> </w:t>
      </w:r>
      <w:r>
        <w:rPr>
          <w:rStyle w:val="VerbatimChar"/>
        </w:rPr>
        <w:t xml:space="preserve">serialNumbers</w:t>
      </w:r>
      <w:r>
        <w:t xml:space="preserve"> </w:t>
      </w:r>
      <w:r>
        <w:t xml:space="preserve">(JSON array),</w:t>
      </w:r>
      <w:r>
        <w:t xml:space="preserve"> </w:t>
      </w:r>
      <w:r>
        <w:rPr>
          <w:rStyle w:val="VerbatimChar"/>
        </w:rPr>
        <w:t xml:space="preserve">isRetired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Full workflow: Farmer → Field Agent → Supervisor → QAQC → VVB → mint NFT.</w:t>
      </w:r>
    </w:p>
    <w:p>
      <w:pPr>
        <w:pStyle w:val="FirstParagraph"/>
      </w:pPr>
      <w:r>
        <w:rPr>
          <w:b/>
          <w:bCs/>
        </w:rPr>
        <w:t xml:space="preserve">This changes the verdict:</w:t>
      </w:r>
      <w:r>
        <w:t xml:space="preserve"> </w:t>
      </w:r>
      <w:r>
        <w:t xml:space="preserve">AWD2 is</w:t>
      </w:r>
      <w:r>
        <w:t xml:space="preserve"> </w:t>
      </w:r>
      <w:r>
        <w:rPr>
          <w:b/>
          <w:bCs/>
        </w:rPr>
        <w:t xml:space="preserve">NOT greenfield</w:t>
      </w:r>
      <w:r>
        <w:t xml:space="preserve"> </w:t>
      </w:r>
      <w:r>
        <w:t xml:space="preserve">— it's already running ERC-721 NFTs on Polygon. The work is to</w:t>
      </w:r>
      <w:r>
        <w:t xml:space="preserve"> </w:t>
      </w:r>
      <w:r>
        <w:rPr>
          <w:b/>
          <w:bCs/>
        </w:rPr>
        <w:t xml:space="preserve">align</w:t>
      </w:r>
      <w:r>
        <w:t xml:space="preserve"> </w:t>
      </w:r>
      <w:r>
        <w:t xml:space="preserve">the existing system with BCR's Serial ID schema, lock-then-mint sequencing, and registry interop, NOT build from scratch.</w:t>
      </w:r>
    </w:p>
    <w:p>
      <w:pPr>
        <w:pStyle w:val="BodyText"/>
      </w:pPr>
      <w:r>
        <w:t xml:space="preserve">What AWD2 has that's reusable: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Farmer</w:t>
      </w:r>
      <w:r>
        <w:t xml:space="preserve">,</w:t>
      </w:r>
      <w:r>
        <w:t xml:space="preserve"> </w:t>
      </w:r>
      <w:r>
        <w:rPr>
          <w:rStyle w:val="VerbatimChar"/>
        </w:rPr>
        <w:t xml:space="preserve">Farm</w:t>
      </w:r>
      <w:r>
        <w:t xml:space="preserve">,</w:t>
      </w:r>
      <w:r>
        <w:t xml:space="preserve"> </w:t>
      </w:r>
      <w:r>
        <w:rPr>
          <w:rStyle w:val="VerbatimChar"/>
        </w:rPr>
        <w:t xml:space="preserve">Plot</w:t>
      </w:r>
      <w:r>
        <w:t xml:space="preserve">,</w:t>
      </w:r>
      <w:r>
        <w:t xml:space="preserve"> </w:t>
      </w:r>
      <w:r>
        <w:rPr>
          <w:rStyle w:val="VerbatimChar"/>
        </w:rPr>
        <w:t xml:space="preserve">GhgCalculation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ApprovalAction</w:t>
      </w:r>
      <w:r>
        <w:t xml:space="preserve"> </w:t>
      </w:r>
      <w:r>
        <w:t xml:space="preserve">data models.</w:t>
      </w:r>
    </w:p>
    <w:p>
      <w:pPr>
        <w:pStyle w:val="Compact"/>
        <w:numPr>
          <w:ilvl w:val="0"/>
          <w:numId w:val="1008"/>
        </w:numPr>
      </w:pPr>
      <w:r>
        <w:t xml:space="preserve">8-role RBAC (ADMIN / SUPERVISOR / FIELD_AGENT / LOCAL_PARTNER / FARMER / APPROVER_L1-L3) —</w:t>
      </w:r>
      <w:r>
        <w:t xml:space="preserve"> </w:t>
      </w:r>
      <w:r>
        <w:rPr>
          <w:rStyle w:val="VerbatimChar"/>
        </w:rPr>
        <w:t xml:space="preserve">APPROVER_L3</w:t>
      </w:r>
      <w:r>
        <w:t xml:space="preserve"> </w:t>
      </w:r>
      <w:r>
        <w:t xml:space="preserve">is conceptually equivalent to a DOE-validated step.</w:t>
      </w:r>
    </w:p>
    <w:p>
      <w:pPr>
        <w:pStyle w:val="Compact"/>
        <w:numPr>
          <w:ilvl w:val="0"/>
          <w:numId w:val="1008"/>
        </w:numPr>
      </w:pPr>
      <w:r>
        <w:t xml:space="preserve">Audit logging via</w:t>
      </w:r>
      <w:r>
        <w:t xml:space="preserve"> </w:t>
      </w:r>
      <w:r>
        <w:rPr>
          <w:rStyle w:val="VerbatimChar"/>
        </w:rPr>
        <w:t xml:space="preserve">DataMigrationLog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AuditLog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Production deployment (Docker + Nginx + TLS 1.3).</w:t>
      </w:r>
    </w:p>
    <w:p>
      <w:pPr>
        <w:pStyle w:val="Compact"/>
        <w:numPr>
          <w:ilvl w:val="0"/>
          <w:numId w:val="1008"/>
        </w:numPr>
      </w:pPr>
      <w:r>
        <w:t xml:space="preserve">File checksum validation (transfers to BioCarbon-style proof requirements naturally).</w:t>
      </w:r>
    </w:p>
    <w:bookmarkStart w:id="18" w:name="Xf545849c45403bf5f2e3f3c29886df534bbe147"/>
    <w:p>
      <w:pPr>
        <w:pStyle w:val="Heading3"/>
      </w:pPr>
      <w:r>
        <w:t xml:space="preserve">Architectural choice — AWD2 already has its own contracts</w:t>
      </w:r>
    </w:p>
    <w:p>
      <w:pPr>
        <w:pStyle w:val="FirstParagraph"/>
      </w:pPr>
      <w:r>
        <w:t xml:space="preserve">Three options,</w:t>
      </w:r>
      <w:r>
        <w:t xml:space="preserve"> </w:t>
      </w:r>
      <w:r>
        <w:rPr>
          <w:b/>
          <w:bCs/>
        </w:rPr>
        <w:t xml:space="preserve">revised</w:t>
      </w:r>
      <w:r>
        <w:t xml:space="preserve"> </w:t>
      </w:r>
      <w:r>
        <w:t xml:space="preserve">given AWD2 has live Polygon NFTs:</w:t>
      </w:r>
    </w:p>
    <w:p>
      <w:pPr>
        <w:pStyle w:val="BodyText"/>
      </w:pPr>
      <w:r>
        <w:rPr>
          <w:b/>
          <w:bCs/>
        </w:rPr>
        <w:t xml:space="preserve">Option A — AWD2 sunsets its NFT contract; Aurex tokenizes.</w:t>
      </w:r>
    </w:p>
    <w:p>
      <w:pPr>
        <w:pStyle w:val="Compact"/>
        <w:numPr>
          <w:ilvl w:val="0"/>
          <w:numId w:val="1009"/>
        </w:numPr>
      </w:pPr>
      <w:r>
        <w:t xml:space="preserve">AWD2's existing</w:t>
      </w:r>
      <w:r>
        <w:t xml:space="preserve"> </w:t>
      </w:r>
      <w:r>
        <w:rPr>
          <w:rStyle w:val="VerbatimChar"/>
        </w:rPr>
        <w:t xml:space="preserve">CarbonCreditNFT.sol</w:t>
      </w:r>
      <w:r>
        <w:t xml:space="preserve"> </w:t>
      </w:r>
      <w:r>
        <w:t xml:space="preserve">is paused for new mints; existing tokens grandfathered.</w:t>
      </w:r>
    </w:p>
    <w:p>
      <w:pPr>
        <w:pStyle w:val="Compact"/>
        <w:numPr>
          <w:ilvl w:val="0"/>
          <w:numId w:val="1009"/>
        </w:numPr>
      </w:pPr>
      <w:r>
        <w:t xml:space="preserve">AWD2 emits a "VCC issuance ready" event to Aurex; Aurex mints under BCR-aligned contract.</w:t>
      </w:r>
    </w:p>
    <w:p>
      <w:pPr>
        <w:pStyle w:val="Compact"/>
        <w:numPr>
          <w:ilvl w:val="0"/>
          <w:numId w:val="1009"/>
        </w:numPr>
      </w:pPr>
      <w:r>
        <w:t xml:space="preserve">One BCR adapter, one production contract, one KYC pipeline.</w:t>
      </w:r>
    </w:p>
    <w:p>
      <w:pPr>
        <w:pStyle w:val="Compact"/>
        <w:numPr>
          <w:ilvl w:val="0"/>
          <w:numId w:val="1009"/>
        </w:numPr>
      </w:pPr>
      <w:r>
        <w:t xml:space="preserve">Cost: migrating AWD2 customers off the existing NFT to the new Aurex-issued one.</w:t>
      </w:r>
    </w:p>
    <w:p>
      <w:pPr>
        <w:pStyle w:val="FirstParagraph"/>
      </w:pPr>
      <w:r>
        <w:rPr>
          <w:b/>
          <w:bCs/>
        </w:rPr>
        <w:t xml:space="preserve">Option B — AWD2 keeps its contract, makes it BCR-compliant.</w:t>
      </w:r>
    </w:p>
    <w:p>
      <w:pPr>
        <w:pStyle w:val="Compact"/>
        <w:numPr>
          <w:ilvl w:val="0"/>
          <w:numId w:val="1010"/>
        </w:numPr>
      </w:pPr>
      <w:r>
        <w:t xml:space="preserve">AWD2's</w:t>
      </w:r>
      <w:r>
        <w:t xml:space="preserve"> </w:t>
      </w:r>
      <w:r>
        <w:rPr>
          <w:rStyle w:val="VerbatimChar"/>
        </w:rPr>
        <w:t xml:space="preserve">CarbonCreditNFT.sol</w:t>
      </w:r>
      <w:r>
        <w:t xml:space="preserve"> </w:t>
      </w:r>
      <w:r>
        <w:t xml:space="preserve">(ERC-721) stays — already 1-token-per-credit, already non-PoW (Polygon).</w:t>
      </w:r>
    </w:p>
    <w:p>
      <w:pPr>
        <w:pStyle w:val="Compact"/>
        <w:numPr>
          <w:ilvl w:val="0"/>
          <w:numId w:val="1010"/>
        </w:numPr>
      </w:pPr>
      <w:r>
        <w:t xml:space="preserve">Add BCR Serial ID fields, lock-then-mint guard, two-way bridge.</w:t>
      </w:r>
    </w:p>
    <w:p>
      <w:pPr>
        <w:pStyle w:val="Compact"/>
        <w:numPr>
          <w:ilvl w:val="0"/>
          <w:numId w:val="1010"/>
        </w:numPr>
      </w:pPr>
      <w:r>
        <w:t xml:space="preserve">AWD2 applies for its own BCR Third-Party authorisation.</w:t>
      </w:r>
    </w:p>
    <w:p>
      <w:pPr>
        <w:pStyle w:val="Compact"/>
        <w:numPr>
          <w:ilvl w:val="0"/>
          <w:numId w:val="1010"/>
        </w:numPr>
      </w:pPr>
      <w:r>
        <w:t xml:space="preserve">Aurex's BCR work focuses on its own marketplace + non-AWD activities.</w:t>
      </w:r>
    </w:p>
    <w:p>
      <w:pPr>
        <w:pStyle w:val="Compact"/>
        <w:numPr>
          <w:ilvl w:val="0"/>
          <w:numId w:val="1010"/>
        </w:numPr>
      </w:pPr>
      <w:r>
        <w:t xml:space="preserve">Cost: two BCR authorisations, two KYC stacks, contract migration of existing AWD2 NFTs.</w:t>
      </w:r>
    </w:p>
    <w:p>
      <w:pPr>
        <w:pStyle w:val="FirstParagraph"/>
      </w:pPr>
      <w:r>
        <w:rPr>
          <w:b/>
          <w:bCs/>
        </w:rPr>
        <w:t xml:space="preserve">Option C — AWD2 keeps contract for legacy; new mints route to Aurex (recommended).</w:t>
      </w:r>
    </w:p>
    <w:p>
      <w:pPr>
        <w:pStyle w:val="Compact"/>
        <w:numPr>
          <w:ilvl w:val="0"/>
          <w:numId w:val="1011"/>
        </w:numPr>
      </w:pPr>
      <w:r>
        <w:t xml:space="preserve">AWD2's existing NFT contract becomes a "legacy" registry for credits already issued.</w:t>
      </w:r>
    </w:p>
    <w:p>
      <w:pPr>
        <w:pStyle w:val="Compact"/>
        <w:numPr>
          <w:ilvl w:val="0"/>
          <w:numId w:val="1011"/>
        </w:numPr>
      </w:pPr>
      <w:r>
        <w:t xml:space="preserve">New issuances flow through Aurex's BCR-aligned contract.</w:t>
      </w:r>
    </w:p>
    <w:p>
      <w:pPr>
        <w:pStyle w:val="Compact"/>
        <w:numPr>
          <w:ilvl w:val="0"/>
          <w:numId w:val="1011"/>
        </w:numPr>
      </w:pPr>
      <w:r>
        <w:t xml:space="preserve">AWD2 ships the handoff API; Aurex owns all new mints.</w:t>
      </w:r>
    </w:p>
    <w:p>
      <w:pPr>
        <w:pStyle w:val="Compact"/>
        <w:numPr>
          <w:ilvl w:val="0"/>
          <w:numId w:val="1011"/>
        </w:numPr>
      </w:pPr>
      <w:r>
        <w:t xml:space="preserve">Avoids customer migration; preserves the existing chain history.</w:t>
      </w:r>
    </w:p>
    <w:p>
      <w:pPr>
        <w:pStyle w:val="Compact"/>
        <w:numPr>
          <w:ilvl w:val="0"/>
          <w:numId w:val="1011"/>
        </w:numPr>
      </w:pPr>
      <w:r>
        <w:t xml:space="preserve">Cost: two contracts coexist; legacy reporting path.</w:t>
      </w:r>
    </w:p>
    <w:p>
      <w:pPr>
        <w:pStyle w:val="FirstParagraph"/>
      </w:pPr>
      <w:r>
        <w:rPr>
          <w:b/>
          <w:bCs/>
        </w:rPr>
        <w:t xml:space="preserve">Recommendation: Option C</w:t>
      </w:r>
      <w:r>
        <w:t xml:space="preserve"> </w:t>
      </w:r>
      <w:r>
        <w:t xml:space="preserve">unless AWD2's deployed contract has a meaningful user base beyond pilots. The handoff pattern matches how mature carbon platforms (Toucan, Thallo) coexist with origination layers.</w:t>
      </w:r>
    </w:p>
    <w:bookmarkEnd w:id="18"/>
    <w:bookmarkStart w:id="19" w:name="gap-matrix"/>
    <w:p>
      <w:pPr>
        <w:pStyle w:val="Heading3"/>
      </w:pPr>
      <w:r>
        <w:t xml:space="preserve">Gap matrix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AWD2 status</w:t>
            </w:r>
          </w:p>
        </w:tc>
        <w:tc>
          <w:tcPr/>
          <w:p>
            <w:pPr>
              <w:pStyle w:val="Compact"/>
            </w:pPr>
            <w:r>
              <w:t xml:space="preserve">Effort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A1</w:t>
            </w:r>
          </w:p>
        </w:tc>
        <w:tc>
          <w:tcPr/>
          <w:p>
            <w:pPr>
              <w:pStyle w:val="Compact"/>
            </w:pPr>
            <w:r>
              <w:t xml:space="preserve">VCC issuance handoff API to Aurex</w:t>
            </w:r>
          </w:p>
        </w:tc>
        <w:tc>
          <w:tcPr/>
          <w:p>
            <w:pPr>
              <w:pStyle w:val="Compact"/>
            </w:pPr>
            <w:r>
              <w:t xml:space="preserve">❌ Missing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  <w:r>
              <w:t xml:space="preserve"> </w:t>
            </w:r>
            <w:r>
              <w:rPr>
                <w:rStyle w:val="VerbatimChar"/>
              </w:rPr>
              <w:t xml:space="preserve">POST /api/vcc/handoff</w:t>
            </w:r>
            <w:r>
              <w:t xml:space="preserve"> </w:t>
            </w:r>
            <w:r>
              <w:t xml:space="preserve">endpoint emitting</w:t>
            </w:r>
            <w:r>
              <w:t xml:space="preserve"> </w:t>
            </w:r>
            <w:r>
              <w:rPr>
                <w:rStyle w:val="VerbatimChar"/>
              </w:rPr>
              <w:t xml:space="preserve">{plotId, methodology, vintage, units, ghgCalculationId, verifierId, fileChecksums}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A2</w:t>
            </w:r>
          </w:p>
        </w:tc>
        <w:tc>
          <w:tcPr/>
          <w:p>
            <w:pPr>
              <w:pStyle w:val="Compact"/>
            </w:pPr>
            <w:r>
              <w:t xml:space="preserve">BCR Serial ID format conformance for AWD2-originated projects</w:t>
            </w:r>
          </w:p>
        </w:tc>
        <w:tc>
          <w:tcPr/>
          <w:p>
            <w:pPr>
              <w:pStyle w:val="Compact"/>
            </w:pPr>
            <w:r>
              <w:t xml:space="preserve">❌ Missing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Project IDs follow BCR SOP format when registered with BCR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A3</w:t>
            </w:r>
          </w:p>
        </w:tc>
        <w:tc>
          <w:tcPr/>
          <w:p>
            <w:pPr>
              <w:pStyle w:val="Compact"/>
            </w:pPr>
            <w:r>
              <w:t xml:space="preserve">DOE-equivalent verification step</w:t>
            </w:r>
          </w:p>
        </w:tc>
        <w:tc>
          <w:tcPr/>
          <w:p>
            <w:pPr>
              <w:pStyle w:val="Compact"/>
            </w:pPr>
            <w:r>
              <w:t xml:space="preserve">⚠️ Partial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Existing APPROVER_L3 is internal; needs to map to BCR-recognised VVB. Either contract with a real VVB or formalise APPROVER_L3 + audit trail to satisfy BCR project registration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A4</w:t>
            </w:r>
          </w:p>
        </w:tc>
        <w:tc>
          <w:tcPr/>
          <w:p>
            <w:pPr>
              <w:pStyle w:val="Compact"/>
            </w:pPr>
            <w:r>
              <w:t xml:space="preserve">File integrity (already done)</w:t>
            </w:r>
          </w:p>
        </w:tc>
        <w:tc>
          <w:tcPr/>
          <w:p>
            <w:pPr>
              <w:pStyle w:val="Compact"/>
            </w:pPr>
            <w:r>
              <w:t xml:space="preserve">✅ Done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Checksum validation already in</w:t>
            </w:r>
            <w:r>
              <w:t xml:space="preserve"> </w:t>
            </w:r>
            <w:r>
              <w:rPr>
                <w:rStyle w:val="VerbatimChar"/>
              </w:rPr>
              <w:t xml:space="preserve">data-migration</w:t>
            </w:r>
            <w:r>
              <w:t xml:space="preserve"> </w:t>
            </w:r>
            <w:r>
              <w:t xml:space="preserve">service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A5</w:t>
            </w:r>
          </w:p>
        </w:tc>
        <w:tc>
          <w:tcPr/>
          <w:p>
            <w:pPr>
              <w:pStyle w:val="Compact"/>
            </w:pPr>
            <w:r>
              <w:t xml:space="preserve">Project registration on BCR</w:t>
            </w:r>
          </w:p>
        </w:tc>
        <w:tc>
          <w:tcPr/>
          <w:p>
            <w:pPr>
              <w:pStyle w:val="Compact"/>
            </w:pPr>
            <w:r>
              <w:t xml:space="preserve">❌ Operational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Per-project BCR registration before any token can be minted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A6</w:t>
            </w:r>
          </w:p>
        </w:tc>
        <w:tc>
          <w:tcPr/>
          <w:p>
            <w:pPr>
              <w:pStyle w:val="Compact"/>
            </w:pPr>
            <w:r>
              <w:t xml:space="preserve">KYC / AML on Farmer (not just User)</w:t>
            </w:r>
          </w:p>
        </w:tc>
        <w:tc>
          <w:tcPr/>
          <w:p>
            <w:pPr>
              <w:pStyle w:val="Compact"/>
            </w:pPr>
            <w:r>
              <w:t xml:space="preserve">⚠️ Partial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Farmer model has</w:t>
            </w:r>
            <w:r>
              <w:t xml:space="preserve"> </w:t>
            </w:r>
            <w:r>
              <w:rPr>
                <w:rStyle w:val="VerbatimChar"/>
              </w:rPr>
              <w:t xml:space="preserve">governmentId</w:t>
            </w:r>
            <w:r>
              <w:t xml:space="preserve"> </w:t>
            </w:r>
            <w:r>
              <w:t xml:space="preserve">+ photo — extend to a full KYC verification flow with status tracking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A7</w:t>
            </w:r>
          </w:p>
        </w:tc>
        <w:tc>
          <w:tcPr/>
          <w:p>
            <w:pPr>
              <w:pStyle w:val="Compact"/>
            </w:pPr>
            <w:r>
              <w:t xml:space="preserve">Audit-log enrichment for token-relevant events</w:t>
            </w:r>
          </w:p>
        </w:tc>
        <w:tc>
          <w:tcPr/>
          <w:p>
            <w:pPr>
              <w:pStyle w:val="Compact"/>
            </w:pPr>
            <w:r>
              <w:t xml:space="preserve">⚠️ Partial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Existing AuditLog needs new event types:</w:t>
            </w:r>
            <w:r>
              <w:t xml:space="preserve"> </w:t>
            </w:r>
            <w:r>
              <w:rPr>
                <w:rStyle w:val="VerbatimChar"/>
              </w:rPr>
              <w:t xml:space="preserve">VCC_ISSUANCE_PREPARED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VCC_HANDED_OFF_TO_AUREX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VCC_TOKENIZED_BY_AUREX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VCC_RETIRED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A8</w:t>
            </w:r>
          </w:p>
        </w:tc>
        <w:tc>
          <w:tcPr/>
          <w:p>
            <w:pPr>
              <w:pStyle w:val="Compact"/>
            </w:pPr>
            <w:r>
              <w:t xml:space="preserve">API authentication with Aurex (mTLS or signed JWT)</w:t>
            </w:r>
          </w:p>
        </w:tc>
        <w:tc>
          <w:tcPr/>
          <w:p>
            <w:pPr>
              <w:pStyle w:val="Compact"/>
            </w:pPr>
            <w:r>
              <w:t xml:space="preserve">❌ Missing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Service-to-service trust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A9</w:t>
            </w:r>
          </w:p>
        </w:tc>
        <w:tc>
          <w:tcPr/>
          <w:p>
            <w:pPr>
              <w:pStyle w:val="Compact"/>
            </w:pPr>
            <w:r>
              <w:t xml:space="preserve">Backfill existing AWD2 farmer plots into Aurex Activity model</w:t>
            </w:r>
          </w:p>
        </w:tc>
        <w:tc>
          <w:tcPr/>
          <w:p>
            <w:pPr>
              <w:pStyle w:val="Compact"/>
            </w:pPr>
            <w:r>
              <w:t xml:space="preserve">❌ Missing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One-time migration script</w:t>
            </w:r>
          </w:p>
        </w:tc>
      </w:tr>
    </w:tbl>
    <w:p>
      <w:pPr>
        <w:pStyle w:val="BodyText"/>
      </w:pPr>
      <w:r>
        <w:rPr>
          <w:b/>
          <w:bCs/>
        </w:rPr>
        <w:t xml:space="preserve">AWD2 effort total:</w:t>
      </w:r>
      <w:r>
        <w:t xml:space="preserve"> </w:t>
      </w:r>
      <w:r>
        <w:t xml:space="preserve">~2 dev-weeks. Most of the heavy lifting moves to Aurex.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X6e890977c45c76e2b62dea3e9fbf313a1cef84b"/>
    <w:p>
      <w:pPr>
        <w:pStyle w:val="Heading2"/>
      </w:pPr>
      <w:r>
        <w:t xml:space="preserve">3. HCE2 — conditional, scope decision pending</w:t>
      </w:r>
    </w:p>
    <w:p>
      <w:pPr>
        <w:pStyle w:val="FirstParagraph"/>
      </w:pPr>
      <w:r>
        <w:t xml:space="preserve">See §0 above for the conflict resolution.</w:t>
      </w:r>
      <w:r>
        <w:t xml:space="preserve"> </w:t>
      </w:r>
      <w:r>
        <w:rPr>
          <w:b/>
          <w:bCs/>
        </w:rPr>
        <w:t xml:space="preserve">Default: out of scope.</w:t>
      </w:r>
      <w:r>
        <w:t xml:space="preserve"> </w:t>
      </w:r>
      <w:r>
        <w:t xml:space="preserve">If user activates path 2 (HCE2 carbon code is alive), the gap matrix below applies.</w:t>
      </w:r>
    </w:p>
    <w:p>
      <w:pPr>
        <w:pStyle w:val="BodyText"/>
      </w:pPr>
      <w:r>
        <w:rPr>
          <w:b/>
          <w:bCs/>
        </w:rPr>
        <w:t xml:space="preserve">HCE2 carbon code current state: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contracts/carbon_credits/AurigraphCarbonToken.sol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ERC-20</w:t>
      </w:r>
      <w:r>
        <w:t xml:space="preserve"> </w:t>
      </w:r>
      <w:r>
        <w:t xml:space="preserve">(BCR-prohibited per B8).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app/agents/carbon_estimation_agent.py</w:t>
      </w:r>
      <w:r>
        <w:t xml:space="preserve"> </w:t>
      </w:r>
      <w:r>
        <w:t xml:space="preserve">— DMRV agent for biomass + carbon-stock + DMRV-compliance.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Project</w:t>
      </w:r>
      <w:r>
        <w:t xml:space="preserve">,</w:t>
      </w:r>
      <w:r>
        <w:t xml:space="preserve"> </w:t>
      </w:r>
      <w:r>
        <w:rPr>
          <w:rStyle w:val="VerbatimChar"/>
        </w:rPr>
        <w:t xml:space="preserve">Parcel</w:t>
      </w:r>
      <w:r>
        <w:t xml:space="preserve">,</w:t>
      </w:r>
      <w:r>
        <w:t xml:space="preserve"> </w:t>
      </w:r>
      <w:r>
        <w:rPr>
          <w:rStyle w:val="VerbatimChar"/>
        </w:rPr>
        <w:t xml:space="preserve">Forest3DTree</w:t>
      </w:r>
      <w:r>
        <w:t xml:space="preserve">,</w:t>
      </w:r>
      <w:r>
        <w:t xml:space="preserve"> </w:t>
      </w:r>
      <w:r>
        <w:rPr>
          <w:rStyle w:val="VerbatimChar"/>
        </w:rPr>
        <w:t xml:space="preserve">ForestStructureMetrics</w:t>
      </w:r>
      <w:r>
        <w:t xml:space="preserve">,</w:t>
      </w:r>
      <w:r>
        <w:t xml:space="preserve"> </w:t>
      </w:r>
      <w:r>
        <w:rPr>
          <w:rStyle w:val="VerbatimChar"/>
        </w:rPr>
        <w:t xml:space="preserve">ForestReconstructionResponse</w:t>
      </w:r>
      <w:r>
        <w:t xml:space="preserve"> </w:t>
      </w:r>
      <w:r>
        <w:t xml:space="preserve">Pydantic models.</w:t>
      </w:r>
    </w:p>
    <w:p>
      <w:pPr>
        <w:pStyle w:val="Compact"/>
        <w:numPr>
          <w:ilvl w:val="0"/>
          <w:numId w:val="1012"/>
        </w:numPr>
      </w:pPr>
      <w:r>
        <w:t xml:space="preserve">4 contract roles:</w:t>
      </w:r>
      <w:r>
        <w:t xml:space="preserve"> </w:t>
      </w:r>
      <w:r>
        <w:rPr>
          <w:rStyle w:val="VerbatimChar"/>
        </w:rPr>
        <w:t xml:space="preserve">MINTER_ROLE</w:t>
      </w:r>
      <w:r>
        <w:t xml:space="preserve">,</w:t>
      </w:r>
      <w:r>
        <w:t xml:space="preserve"> </w:t>
      </w:r>
      <w:r>
        <w:rPr>
          <w:rStyle w:val="VerbatimChar"/>
        </w:rPr>
        <w:t xml:space="preserve">REGISTRY_ROLE</w:t>
      </w:r>
      <w:r>
        <w:t xml:space="preserve">,</w:t>
      </w:r>
      <w:r>
        <w:t xml:space="preserve"> </w:t>
      </w:r>
      <w:r>
        <w:rPr>
          <w:rStyle w:val="VerbatimChar"/>
        </w:rPr>
        <w:t xml:space="preserve">AUDITOR_ROLE</w:t>
      </w:r>
      <w:r>
        <w:t xml:space="preserve">,</w:t>
      </w:r>
      <w:r>
        <w:t xml:space="preserve"> </w:t>
      </w:r>
      <w:r>
        <w:rPr>
          <w:rStyle w:val="VerbatimChar"/>
        </w:rPr>
        <w:t xml:space="preserve">PAUSER_ROLE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Buffer pool tracking already in contract (line 45/157 of AurigraphCarbonToken.sol).</w:t>
      </w:r>
    </w:p>
    <w:p>
      <w:pPr>
        <w:pStyle w:val="Compact"/>
        <w:numPr>
          <w:ilvl w:val="0"/>
          <w:numId w:val="1012"/>
        </w:numPr>
      </w:pPr>
      <w:r>
        <w:t xml:space="preserve">No Verra / Gold Standard / BCR registry integration;</w:t>
      </w:r>
      <w:r>
        <w:t xml:space="preserve"> </w:t>
      </w:r>
      <w:r>
        <w:rPr>
          <w:rStyle w:val="VerbatimChar"/>
        </w:rPr>
        <w:t xml:space="preserve">IRegistry</w:t>
      </w:r>
      <w:r>
        <w:t xml:space="preserve"> </w:t>
      </w:r>
      <w:r>
        <w:t xml:space="preserve">interface stub at lines 362–369.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HCE2 status (if path 2)</w:t>
            </w:r>
          </w:p>
        </w:tc>
        <w:tc>
          <w:tcPr/>
          <w:p>
            <w:pPr>
              <w:pStyle w:val="Compact"/>
            </w:pPr>
            <w:r>
              <w:t xml:space="preserve">Effort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H1</w:t>
            </w:r>
          </w:p>
        </w:tc>
        <w:tc>
          <w:tcPr/>
          <w:p>
            <w:pPr>
              <w:pStyle w:val="Compact"/>
            </w:pPr>
            <w:r>
              <w:t xml:space="preserve">Migrate ERC-20 → ERC-1155 (or ERC-721)</w:t>
            </w:r>
          </w:p>
        </w:tc>
        <w:tc>
          <w:tcPr/>
          <w:p>
            <w:pPr>
              <w:pStyle w:val="Compact"/>
            </w:pPr>
            <w:r>
              <w:t xml:space="preserve">❌ Required by B8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</w:t>
            </w:r>
          </w:p>
        </w:tc>
        <w:tc>
          <w:tcPr/>
          <w:p>
            <w:pPr>
              <w:pStyle w:val="Compact"/>
            </w:pPr>
            <w:r>
              <w:t xml:space="preserve">Existing ERC-20 violates B8/B10 (drops Serial ID across fungible holders). Hard fork to ERC-1155 with Serial ID per token-id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H2</w:t>
            </w:r>
          </w:p>
        </w:tc>
        <w:tc>
          <w:tcPr/>
          <w:p>
            <w:pPr>
              <w:pStyle w:val="Compact"/>
            </w:pPr>
            <w:r>
              <w:t xml:space="preserve">Treat HCE2 as origination source like AWD2</w:t>
            </w:r>
          </w:p>
        </w:tc>
        <w:tc>
          <w:tcPr/>
          <w:p>
            <w:pPr>
              <w:pStyle w:val="Compact"/>
            </w:pPr>
            <w:r>
              <w:t xml:space="preserve">❌ Not done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Same handoff API pattern (§4 X2)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H3</w:t>
            </w:r>
          </w:p>
        </w:tc>
        <w:tc>
          <w:tcPr/>
          <w:p>
            <w:pPr>
              <w:pStyle w:val="Compact"/>
            </w:pPr>
            <w:r>
              <w:t xml:space="preserve">Forest 3D reconstruction → BCR project metadata</w:t>
            </w:r>
          </w:p>
        </w:tc>
        <w:tc>
          <w:tcPr/>
          <w:p>
            <w:pPr>
              <w:pStyle w:val="Compact"/>
            </w:pPr>
            <w:r>
              <w:t xml:space="preserve">❌ Not done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Map</w:t>
            </w:r>
            <w:r>
              <w:t xml:space="preserve"> </w:t>
            </w:r>
            <w:r>
              <w:rPr>
                <w:rStyle w:val="VerbatimChar"/>
              </w:rPr>
              <w:t xml:space="preserve">Forest3DTree</w:t>
            </w:r>
            <w:r>
              <w:t xml:space="preserve">/</w:t>
            </w:r>
            <w:r>
              <w:rPr>
                <w:rStyle w:val="VerbatimChar"/>
              </w:rPr>
              <w:t xml:space="preserve">ForestStructureMetrics</w:t>
            </w:r>
            <w:r>
              <w:t xml:space="preserve"> </w:t>
            </w:r>
            <w:r>
              <w:t xml:space="preserve">into PDD-equivalent metadata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H4</w:t>
            </w:r>
          </w:p>
        </w:tc>
        <w:tc>
          <w:tcPr/>
          <w:p>
            <w:pPr>
              <w:pStyle w:val="Compact"/>
            </w:pPr>
            <w:r>
              <w:t xml:space="preserve">Project lifecycle management</w:t>
            </w:r>
          </w:p>
        </w:tc>
        <w:tc>
          <w:tcPr/>
          <w:p>
            <w:pPr>
              <w:pStyle w:val="Compact"/>
            </w:pPr>
            <w:r>
              <w:t xml:space="preserve">⚠️ Partial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Has</w:t>
            </w:r>
            <w:r>
              <w:t xml:space="preserve"> </w:t>
            </w:r>
            <w:r>
              <w:rPr>
                <w:rStyle w:val="VerbatimChar"/>
              </w:rPr>
              <w:t xml:space="preserve">Project</w:t>
            </w:r>
            <w:r>
              <w:t xml:space="preserve"> </w:t>
            </w:r>
            <w:r>
              <w:t xml:space="preserve">model but no methodology binding, crediting period, baseline scenario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H5</w:t>
            </w:r>
          </w:p>
        </w:tc>
        <w:tc>
          <w:tcPr/>
          <w:p>
            <w:pPr>
              <w:pStyle w:val="Compact"/>
            </w:pPr>
            <w:r>
              <w:t xml:space="preserve">DMRV agent → BCR-recognised verification report</w:t>
            </w:r>
          </w:p>
        </w:tc>
        <w:tc>
          <w:tcPr/>
          <w:p>
            <w:pPr>
              <w:pStyle w:val="Compact"/>
            </w:pPr>
            <w:r>
              <w:t xml:space="preserve">❌ Not done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carbon_estimation_agent.py</w:t>
            </w:r>
            <w:r>
              <w:t xml:space="preserve"> </w:t>
            </w:r>
            <w:r>
              <w:t xml:space="preserve">produces internal compliance scores; needs DOE/VVB sign-off layer</w:t>
            </w:r>
          </w:p>
        </w:tc>
      </w:tr>
    </w:tbl>
    <w:p>
      <w:pPr>
        <w:pStyle w:val="BodyText"/>
      </w:pPr>
      <w:r>
        <w:rPr>
          <w:b/>
          <w:bCs/>
        </w:rPr>
        <w:t xml:space="preserve">HCE2 effort total (path 2 only):</w:t>
      </w:r>
      <w:r>
        <w:t xml:space="preserve"> </w:t>
      </w:r>
      <w:r>
        <w:t xml:space="preserve">~4 dev-weeks (mostly contract migration + handoff integration).</w:t>
      </w:r>
    </w:p>
    <w:p>
      <w:r>
        <w:pict>
          <v:rect style="width:0;height:1.5pt" o:hralign="center" o:hrstd="t" o:hr="t"/>
        </w:pict>
      </w:r>
    </w:p>
    <w:bookmarkEnd w:id="21"/>
    <w:bookmarkStart w:id="22" w:name="X98ea9d24214456a168738192802ec51134aa187"/>
    <w:p>
      <w:pPr>
        <w:pStyle w:val="Heading2"/>
      </w:pPr>
      <w:r>
        <w:t xml:space="preserve">4. Cross-cutting (Aurex ↔ AWD2 integration)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Cross-cutting concern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X1</w:t>
            </w:r>
          </w:p>
        </w:tc>
        <w:tc>
          <w:tcPr/>
          <w:p>
            <w:pPr>
              <w:pStyle w:val="Compact"/>
            </w:pPr>
            <w:r>
              <w:t xml:space="preserve">Shared identity (Aurex SUPER_ADMIN can act on behalf of AWD2 ADMIN for cross-system audit)</w:t>
            </w:r>
          </w:p>
        </w:tc>
        <w:tc>
          <w:tcPr/>
          <w:p>
            <w:pPr>
              <w:pStyle w:val="Compact"/>
            </w:pPr>
            <w:r>
              <w:t xml:space="preserve">Both</w:t>
            </w:r>
          </w:p>
        </w:tc>
        <w:tc>
          <w:tcPr/>
          <w:p>
            <w:pPr>
              <w:pStyle w:val="Compact"/>
            </w:pPr>
            <w:r>
              <w:t xml:space="preserve">OAuth2 federation or shared Keycloak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X2</w:t>
            </w:r>
          </w:p>
        </w:tc>
        <w:tc>
          <w:tcPr/>
          <w:p>
            <w:pPr>
              <w:pStyle w:val="Compact"/>
            </w:pPr>
            <w:r>
              <w:t xml:space="preserve">VCC handoff schema (AWD2 → Aurex)</w:t>
            </w:r>
          </w:p>
        </w:tc>
        <w:tc>
          <w:tcPr/>
          <w:p>
            <w:pPr>
              <w:pStyle w:val="Compact"/>
            </w:pPr>
            <w:r>
              <w:t xml:space="preserve">Both</w:t>
            </w:r>
          </w:p>
        </w:tc>
        <w:tc>
          <w:tcPr/>
          <w:p>
            <w:pPr>
              <w:pStyle w:val="Compact"/>
            </w:pPr>
            <w:r>
              <w:t xml:space="preserve">Versioned JSON schema; tracked in</w:t>
            </w:r>
            <w:r>
              <w:t xml:space="preserve"> </w:t>
            </w:r>
            <w:r>
              <w:rPr>
                <w:rStyle w:val="VerbatimChar"/>
              </w:rPr>
              <w:t xml:space="preserve">@aurex/shared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X3</w:t>
            </w:r>
          </w:p>
        </w:tc>
        <w:tc>
          <w:tcPr/>
          <w:p>
            <w:pPr>
              <w:pStyle w:val="Compact"/>
            </w:pPr>
            <w:r>
              <w:t xml:space="preserve">Single source of truth for methodology catalogue</w:t>
            </w:r>
          </w:p>
        </w:tc>
        <w:tc>
          <w:tcPr/>
          <w:p>
            <w:pPr>
              <w:pStyle w:val="Compact"/>
            </w:pPr>
            <w:r>
              <w:t xml:space="preserve">Aurex</w:t>
            </w:r>
          </w:p>
        </w:tc>
        <w:tc>
          <w:tcPr/>
          <w:p>
            <w:pPr>
              <w:pStyle w:val="Compact"/>
            </w:pPr>
            <w:r>
              <w:t xml:space="preserve">AWD2 reads from</w:t>
            </w:r>
            <w:r>
              <w:t xml:space="preserve"> </w:t>
            </w:r>
            <w:r>
              <w:rPr>
                <w:rStyle w:val="VerbatimChar"/>
              </w:rPr>
              <w:t xml:space="preserve">GET /methodologies</w:t>
            </w:r>
            <w:r>
              <w:t xml:space="preserve"> </w:t>
            </w:r>
            <w:r>
              <w:t xml:space="preserve">rather than maintaining its own list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X4</w:t>
            </w:r>
          </w:p>
        </w:tc>
        <w:tc>
          <w:tcPr/>
          <w:p>
            <w:pPr>
              <w:pStyle w:val="Compact"/>
            </w:pPr>
            <w:r>
              <w:t xml:space="preserve">Per-project BCR Serial ID lifecycle</w:t>
            </w:r>
          </w:p>
        </w:tc>
        <w:tc>
          <w:tcPr/>
          <w:p>
            <w:pPr>
              <w:pStyle w:val="Compact"/>
            </w:pPr>
            <w:r>
              <w:t xml:space="preserve">Aurex</w:t>
            </w:r>
          </w:p>
        </w:tc>
        <w:tc>
          <w:tcPr/>
          <w:p>
            <w:pPr>
              <w:pStyle w:val="Compact"/>
            </w:pPr>
            <w:r>
              <w:t xml:space="preserve">Aurex owns the BCR connector; AWD2 only ever sees its own AWD-side IDs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X5</w:t>
            </w:r>
          </w:p>
        </w:tc>
        <w:tc>
          <w:tcPr/>
          <w:p>
            <w:pPr>
              <w:pStyle w:val="Compact"/>
            </w:pPr>
            <w:r>
              <w:t xml:space="preserve">Regression E2E spanning both platforms</w:t>
            </w:r>
          </w:p>
        </w:tc>
        <w:tc>
          <w:tcPr/>
          <w:p>
            <w:pPr>
              <w:pStyle w:val="Compact"/>
            </w:pPr>
            <w:r>
              <w:t xml:space="preserve">Aurex</w:t>
            </w:r>
          </w:p>
        </w:tc>
        <w:tc>
          <w:tcPr/>
          <w:p>
            <w:pPr>
              <w:pStyle w:val="Compact"/>
            </w:pPr>
            <w:r>
              <w:t xml:space="preserve">Extend</w:t>
            </w:r>
            <w:r>
              <w:t xml:space="preserve"> </w:t>
            </w:r>
            <w:r>
              <w:rPr>
                <w:rStyle w:val="VerbatimChar"/>
              </w:rPr>
              <w:t xml:space="preserve">tests/a6.4/</w:t>
            </w:r>
            <w:r>
              <w:t xml:space="preserve"> </w:t>
            </w:r>
            <w:r>
              <w:t xml:space="preserve">harness into</w:t>
            </w:r>
            <w:r>
              <w:t xml:space="preserve"> </w:t>
            </w:r>
            <w:r>
              <w:rPr>
                <w:rStyle w:val="VerbatimChar"/>
              </w:rPr>
              <w:t xml:space="preserve">tests/biocarbon/</w:t>
            </w:r>
            <w:r>
              <w:t xml:space="preserve"> </w:t>
            </w:r>
            <w:r>
              <w:t xml:space="preserve">covering AWD2 → handoff → Aurex tokenization → BCR mock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X925541c56bddefcbad96c4bb1cb9b6ae206a44f"/>
    <w:p>
      <w:pPr>
        <w:pStyle w:val="Heading2"/>
      </w:pPr>
      <w:r>
        <w:t xml:space="preserve">5. Risks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Likelihood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BCR rejects Third-Party authorisation application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  <w:tc>
          <w:tcPr/>
          <w:p>
            <w:pPr>
              <w:pStyle w:val="Compact"/>
            </w:pPr>
            <w:r>
              <w:t xml:space="preserve">Submit early; AAT-A1 (Sprint 1) prepares the dossier in parallel with 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Smart-contract audit findings delay mainnet launch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  <w:tc>
          <w:tcPr/>
          <w:p>
            <w:pPr>
              <w:pStyle w:val="Compact"/>
            </w:pPr>
            <w:r>
              <w:t xml:space="preserve">Use battle-tested ERC-1155 + OpenZeppelin; engage external audit firm at Sprint 3 boundary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BCR API spec changes during build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Adapter pattern (B3) absorbs changes in one place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AWD2 farmer plots don't map cleanly to BCR project structure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A9 migration script with a per-project review gate before tokenization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LACChain capacity / latency unsuitable for production volume</w:t>
            </w:r>
          </w:p>
        </w:tc>
        <w:tc>
          <w:tcPr/>
          <w:p>
            <w:pPr>
              <w:pStyle w:val="Compact"/>
            </w:pPr>
            <w:r>
              <w:t xml:space="preserve">L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Polygon PoS as fallback; chain decision documented per B19/B21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Two-way bridge security model not formally specified by BCR (silent gap)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Adopt 5-of-7 multisig threshold by default; document in self-spec</w:t>
            </w:r>
          </w:p>
        </w:tc>
      </w:tr>
      <w:tr>
        <w:tc>
          <w:tcPr/>
          <w:p>
            <w:pPr>
              <w:pStyle w:val="Compact"/>
            </w:pPr>
            <w:r>
              <w:t xml:space="preserve">KYC vendor lock-in (Sumsub/Onfido/Persona)</w:t>
            </w:r>
          </w:p>
        </w:tc>
        <w:tc>
          <w:tcPr/>
          <w:p>
            <w:pPr>
              <w:pStyle w:val="Compact"/>
            </w:pPr>
            <w:r>
              <w:t xml:space="preserve">L</w:t>
            </w:r>
          </w:p>
        </w:tc>
        <w:tc>
          <w:tcPr/>
          <w:p>
            <w:pPr>
              <w:pStyle w:val="Compact"/>
            </w:pPr>
            <w:r>
              <w:t xml:space="preserve">L</w:t>
            </w:r>
          </w:p>
        </w:tc>
        <w:tc>
          <w:tcPr/>
          <w:p>
            <w:pPr>
              <w:pStyle w:val="Compact"/>
            </w:pPr>
            <w:r>
              <w:t xml:space="preserve">Adapter pattern for KYC similar to BCR adapter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Dual interpretation of "no pooling" (B9) — does cross-project marketplace count?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L</w:t>
            </w:r>
          </w:p>
        </w:tc>
        <w:tc>
          <w:tcPr/>
          <w:p>
            <w:pPr>
              <w:pStyle w:val="Compact"/>
            </w:pPr>
            <w:r>
              <w:t xml:space="preserve">Clarify with BCR pre-launch; default conservative (no pools)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X5d5ed6107d82df8fb86d7ed707ffc6289946959"/>
    <w:p>
      <w:pPr>
        <w:pStyle w:val="Heading2"/>
      </w:pPr>
      <w:r>
        <w:t xml:space="preserve">6. Where the SPARC plan lives</w:t>
      </w:r>
    </w:p>
    <w:p>
      <w:pPr>
        <w:pStyle w:val="FirstParagraph"/>
      </w:pPr>
      <w:r>
        <w:t xml:space="preserve">See</w:t>
      </w:r>
      <w:r>
        <w:t xml:space="preserve"> </w:t>
      </w:r>
      <w:r>
        <w:rPr>
          <w:rStyle w:val="VerbatimChar"/>
        </w:rPr>
        <w:t xml:space="preserve">BIOCARBON_SPARC_PLAN.md</w:t>
      </w:r>
      <w:r>
        <w:t xml:space="preserve"> </w:t>
      </w:r>
      <w:r>
        <w:t xml:space="preserve">for the 4-sprint phased delivery with TDD test taxonomies per binding requirement.</w:t>
      </w:r>
    </w:p>
    <w:p>
      <w:r>
        <w:pict>
          <v:rect style="width:0;height:1.5pt" o:hralign="center" o:hrstd="t" o:hr="t"/>
        </w:pict>
      </w:r>
    </w:p>
    <w:bookmarkEnd w:id="24"/>
    <w:bookmarkStart w:id="25" w:name="Xe25a1d14928e8083172cdc5e7100b8d33ffd7c6"/>
    <w:p>
      <w:pPr>
        <w:pStyle w:val="Heading2"/>
      </w:pPr>
      <w:r>
        <w:t xml:space="preserve">7. Where the Jira Epic lives</w:t>
      </w:r>
    </w:p>
    <w:p>
      <w:pPr>
        <w:pStyle w:val="FirstParagraph"/>
      </w:pPr>
      <w:r>
        <w:t xml:space="preserve">Epic to be created in the AV4 project (since Aurex owns the bulk of the work). Cross-system tickets can carry</w:t>
      </w:r>
      <w:r>
        <w:t xml:space="preserve"> </w:t>
      </w:r>
      <w:r>
        <w:rPr>
          <w:rStyle w:val="VerbatimChar"/>
        </w:rPr>
        <w:t xml:space="preserve">[AWD2]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[X]</w:t>
      </w:r>
      <w:r>
        <w:t xml:space="preserve"> </w:t>
      </w:r>
      <w:r>
        <w:t xml:space="preserve">prefix in summary. See bottom of</w:t>
      </w:r>
      <w:r>
        <w:t xml:space="preserve"> </w:t>
      </w:r>
      <w:r>
        <w:rPr>
          <w:rStyle w:val="VerbatimChar"/>
        </w:rPr>
        <w:t xml:space="preserve">BIOCARBON_SPARC_PLAN.md</w:t>
      </w:r>
      <w:r>
        <w:t xml:space="preserve"> </w:t>
      </w:r>
      <w:r>
        <w:t xml:space="preserve">for the Epic + child-ticket structure.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mailto:registry@biocarbonstandard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mailto:registry@biocarbonstandard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2026-04-25T04:22:48Z</dcterms:created>
  <dcterms:modified xsi:type="dcterms:W3CDTF">2026-04-25T04:22:48Z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