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400"/>
        <w:jc w:val="center"/>
      </w:pPr>
      <w:r>
        <w:rPr>
          <w:b/>
          <w:sz w:val="44"/>
        </w:rPr>
        <w:t>PROJECT REPORT</w:t>
      </w:r>
    </w:p>
    <w:p>
      <w:pPr>
        <w:jc w:val="center"/>
      </w:pPr>
      <w:r>
        <w:rPr>
          <w:b/>
          <w:sz w:val="32"/>
        </w:rPr>
        <w:t>CLOUD ARCHITECTURE DESIGN AWS CLOUD PROJECT</w:t>
      </w:r>
    </w:p>
    <w:p>
      <w:pPr>
        <w:pStyle w:val="Title"/>
        <w:jc w:val="center"/>
      </w:pPr>
      <w:r>
        <w:rPr>
          <w:b/>
          <w:color w:val="000000"/>
          <w:sz w:val="28"/>
        </w:rPr>
        <w:t>Smart Storage Tier Recommender for Cancer Imaging Archives</w:t>
        <w:br/>
        <w:t>Clinical Context and Pretrained MRI Analysis</w:t>
      </w:r>
    </w:p>
    <w:p>
      <w:pPr>
        <w:jc w:val="center"/>
      </w:pPr>
      <w:r>
        <w:rPr>
          <w:rFonts w:ascii="Times New Roman" w:hAnsi="Times New Roman"/>
          <w:b/>
        </w:rPr>
        <w:t>Submitted by:</w:t>
      </w:r>
      <w:r>
        <w:br/>
      </w:r>
      <w:r>
        <w:rPr>
          <w:rFonts w:ascii="Times New Roman" w:hAnsi="Times New Roman"/>
        </w:rPr>
        <w:t>Pratyush Chandrasekhar – 24BIT0226</w:t>
      </w:r>
      <w:r>
        <w:br/>
      </w:r>
      <w:r>
        <w:rPr>
          <w:rFonts w:ascii="Times New Roman" w:hAnsi="Times New Roman"/>
        </w:rPr>
        <w:t>Mehul Anand – 24BIT0185</w:t>
      </w:r>
      <w:r>
        <w:br/>
      </w:r>
      <w:r>
        <w:rPr>
          <w:rFonts w:ascii="Times New Roman" w:hAnsi="Times New Roman"/>
        </w:rPr>
        <w:t>Subhrojyoti Das – 24BIT0194</w:t>
      </w:r>
    </w:p>
    <w:p>
      <w:pPr>
        <w:jc w:val="center"/>
      </w:pPr>
      <w:r>
        <w:rPr>
          <w:rFonts w:ascii="Times New Roman" w:hAnsi="Times New Roman"/>
          <w:b/>
        </w:rPr>
        <w:t>Programme / Branch / Year:</w:t>
      </w:r>
      <w:r>
        <w:rPr>
          <w:rFonts w:ascii="Times New Roman" w:hAnsi="Times New Roman"/>
        </w:rPr>
        <w:t xml:space="preserve"> B.Tech. – Information Technology – III Year</w:t>
      </w:r>
    </w:p>
    <w:p>
      <w:pPr>
        <w:jc w:val="center"/>
      </w:pPr>
      <w:r>
        <w:rPr>
          <w:rFonts w:ascii="Times New Roman" w:hAnsi="Times New Roman"/>
          <w:b/>
        </w:rPr>
        <w:t>Course Code and Name:</w:t>
      </w:r>
      <w:r>
        <w:rPr>
          <w:rFonts w:ascii="Times New Roman" w:hAnsi="Times New Roman"/>
        </w:rPr>
        <w:t xml:space="preserve"> BCSE355L – Cloud Architecture Design</w:t>
      </w:r>
    </w:p>
    <w:p>
      <w:pPr>
        <w:jc w:val="center"/>
      </w:pPr>
      <w:r>
        <w:rPr>
          <w:rFonts w:ascii="Times New Roman" w:hAnsi="Times New Roman"/>
          <w:b/>
        </w:rPr>
        <w:t>Institution:</w:t>
      </w:r>
      <w:r>
        <w:rPr>
          <w:rFonts w:ascii="Times New Roman" w:hAnsi="Times New Roman"/>
        </w:rPr>
        <w:t xml:space="preserve"> Vellore Institute of Technology, Vellore</w:t>
      </w:r>
    </w:p>
    <w:p>
      <w:pPr>
        <w:jc w:val="center"/>
      </w:pPr>
      <w:r>
        <w:rPr>
          <w:rFonts w:ascii="Times New Roman" w:hAnsi="Times New Roman"/>
          <w:b/>
        </w:rPr>
        <w:t>Course Instructor / Guide:</w:t>
      </w:r>
      <w:r>
        <w:rPr>
          <w:rFonts w:ascii="Times New Roman" w:hAnsi="Times New Roman"/>
        </w:rPr>
        <w:t xml:space="preserve"> Dr. Priya V</w:t>
      </w:r>
    </w:p>
    <w:p>
      <w:pPr>
        <w:jc w:val="center"/>
      </w:pPr>
      <w:r>
        <w:rPr>
          <w:rFonts w:ascii="Times New Roman" w:hAnsi="Times New Roman"/>
          <w:b/>
        </w:rPr>
        <w:t>Implementation status as of 16 October 2026</w:t>
      </w:r>
    </w:p>
    <w:p>
      <w:pPr>
        <w:jc w:val="center"/>
      </w:pPr>
      <w:r>
        <w:rPr>
          <w:rFonts w:ascii="Times New Roman" w:hAnsi="Times New Roman"/>
          <w:b/>
          <w:sz w:val="19"/>
        </w:rPr>
        <w:t>GitHub Repository:</w:t>
      </w:r>
      <w:r>
        <w:rPr>
          <w:rFonts w:ascii="Times New Roman" w:hAnsi="Times New Roman"/>
          <w:sz w:val="19"/>
        </w:rPr>
        <w:t xml:space="preserve"> https://github.com/SUBHRO71/SmartStorageTierRecommenderForMedicalSector_Cloud_Project_2026</w:t>
      </w:r>
    </w:p>
    <w:p>
      <w:pPr>
        <w:jc w:val="center"/>
      </w:pPr>
      <w:r>
        <w:rPr>
          <w:rFonts w:ascii="Times New Roman" w:hAnsi="Times New Roman"/>
          <w:b/>
        </w:rPr>
        <w:t>Date of Submission:</w:t>
      </w:r>
      <w:r>
        <w:rPr>
          <w:rFonts w:ascii="Times New Roman" w:hAnsi="Times New Roman"/>
        </w:rPr>
        <w:t xml:space="preserve"> 16/10/2026</w:t>
      </w:r>
    </w:p>
    <w:p>
      <w:r>
        <w:br w:type="page"/>
      </w:r>
    </w:p>
    <w:p>
      <w:pPr>
        <w:pStyle w:val="Heading1"/>
      </w:pPr>
      <w:r>
        <w:rPr>
          <w:color w:val="000000"/>
        </w:rPr>
        <w:t>Abstract</w:t>
      </w:r>
    </w:p>
    <w:p>
      <w:pPr>
        <w:jc w:val="both"/>
      </w:pPr>
      <w:r>
        <w:rPr>
          <w:rFonts w:ascii="Times New Roman" w:hAnsi="Times New Roman"/>
          <w:b w:val="0"/>
        </w:rPr>
        <w:t>Medical imaging archives must balance storage cost with the time required to retrieve complete studies. A study can include multiple MRI sequences and associated clinical context; moving only some members or archiving an actively used study can make the archive difficult to use. CloudTierRecommender addresses this problem through a study-oriented storage workspace and an explicit access-constrained cost policy. The implemented local application uses React and Vite for the interface and Flask with SQLite for persistent studies, object metadata and audit events. It imports DICOM and NIfTI files, records checksums and measured sizes, validates DICOM identities, and joins allowlisted clinical CSV fields using exact subject identifiers. NIfTI previews support three anatomical planes. A frozen MONAI BraTS SegResNet adapter analyses four preprocessed MRI sequences and records nested tumour-region masks, volumes and model provenance. These measurements support research inspection and do not produce a diagnosis or retrieval probability. Storage recommendations compare S3 Standard, Standard-IA, Glacier Flexible Retrieval and Deep Archive after applying active-use, hold, access-time and completeness constraints. Placement and complete-study restore are implemented as explicit local simulations. The retained earlier chest X-ray application includes AWS API and inference Lambda handlers and a SAM infrastructure template covering S3, DynamoDB, Cognito, API Gateway, CloudFront, EventBridge, SNS, CloudWatch and IAM. Current validation includes 28 passing automated tests and a successful frontend build. The model compatibility record uses synthetic inputs; real TCIA or BraTS cohort evaluation, clinical accuracy assessment, v2 cloud execution and measured AWS savings remain future work.</w:t>
      </w:r>
    </w:p>
    <w:p>
      <w:pPr>
        <w:pStyle w:val="Heading2"/>
      </w:pPr>
      <w:r>
        <w:rPr>
          <w:color w:val="000000"/>
        </w:rPr>
        <w:t>Keywords</w:t>
      </w:r>
    </w:p>
    <w:p>
      <w:r>
        <w:rPr>
          <w:rFonts w:ascii="Times New Roman" w:hAnsi="Times New Roman"/>
          <w:b w:val="0"/>
        </w:rPr>
        <w:t>Cancer imaging archive; Amazon S3; study bundle; clinical linkage; NIfTI; DICOM; pretrained SegResNet; storage cost simulation.</w:t>
      </w:r>
    </w:p>
    <w:p>
      <w:pPr>
        <w:pStyle w:val="Heading1"/>
        <w:pageBreakBefore/>
      </w:pPr>
      <w:r>
        <w:rPr>
          <w:color w:val="000000"/>
        </w:rPr>
        <w:t>Table of Contents</w:t>
      </w:r>
    </w:p>
    <w:p>
      <w:pPr>
        <w:pStyle w:val="ListBullet"/>
      </w:pPr>
      <w:r>
        <w:rPr>
          <w:rFonts w:ascii="Times New Roman" w:hAnsi="Times New Roman"/>
          <w:b w:val="0"/>
        </w:rPr>
        <w:t>1 Introduction</w:t>
      </w:r>
    </w:p>
    <w:p>
      <w:pPr>
        <w:pStyle w:val="ListBullet"/>
      </w:pPr>
      <w:r>
        <w:rPr>
          <w:rFonts w:ascii="Times New Roman" w:hAnsi="Times New Roman"/>
          <w:b w:val="0"/>
        </w:rPr>
        <w:t>2 Literature Survey and Related Work</w:t>
      </w:r>
    </w:p>
    <w:p>
      <w:pPr>
        <w:pStyle w:val="ListBullet"/>
      </w:pPr>
      <w:r>
        <w:rPr>
          <w:rFonts w:ascii="Times New Roman" w:hAnsi="Times New Roman"/>
          <w:b w:val="0"/>
        </w:rPr>
        <w:t>3 Project Objectives</w:t>
      </w:r>
    </w:p>
    <w:p>
      <w:pPr>
        <w:pStyle w:val="ListBullet"/>
      </w:pPr>
      <w:r>
        <w:rPr>
          <w:rFonts w:ascii="Times New Roman" w:hAnsi="Times New Roman"/>
          <w:b w:val="0"/>
        </w:rPr>
        <w:t>4 Novelty Summary</w:t>
      </w:r>
    </w:p>
    <w:p>
      <w:pPr>
        <w:pStyle w:val="ListBullet"/>
      </w:pPr>
      <w:r>
        <w:rPr>
          <w:rFonts w:ascii="Times New Roman" w:hAnsi="Times New Roman"/>
          <w:b w:val="0"/>
        </w:rPr>
        <w:t>5 System and Architecture</w:t>
      </w:r>
    </w:p>
    <w:p>
      <w:pPr>
        <w:pStyle w:val="ListBullet"/>
      </w:pPr>
      <w:r>
        <w:rPr>
          <w:rFonts w:ascii="Times New Roman" w:hAnsi="Times New Roman"/>
          <w:b w:val="0"/>
        </w:rPr>
        <w:t>6 Dataset and Input Description</w:t>
      </w:r>
    </w:p>
    <w:p>
      <w:pPr>
        <w:pStyle w:val="ListBullet"/>
      </w:pPr>
      <w:r>
        <w:rPr>
          <w:rFonts w:ascii="Times New Roman" w:hAnsi="Times New Roman"/>
          <w:b w:val="0"/>
        </w:rPr>
        <w:t>7 AWS Services and Deployment Status</w:t>
      </w:r>
    </w:p>
    <w:p>
      <w:pPr>
        <w:pStyle w:val="ListBullet"/>
      </w:pPr>
      <w:r>
        <w:rPr>
          <w:rFonts w:ascii="Times New Roman" w:hAnsi="Times New Roman"/>
          <w:b w:val="0"/>
        </w:rPr>
        <w:t>8 Methodology and Implementation</w:t>
      </w:r>
    </w:p>
    <w:p>
      <w:pPr>
        <w:pStyle w:val="ListBullet"/>
      </w:pPr>
      <w:r>
        <w:rPr>
          <w:rFonts w:ascii="Times New Roman" w:hAnsi="Times New Roman"/>
          <w:b w:val="0"/>
        </w:rPr>
        <w:t>9 Implemented Modules and Evidence</w:t>
      </w:r>
    </w:p>
    <w:p>
      <w:pPr>
        <w:pStyle w:val="ListBullet"/>
      </w:pPr>
      <w:r>
        <w:rPr>
          <w:rFonts w:ascii="Times New Roman" w:hAnsi="Times New Roman"/>
          <w:b w:val="0"/>
        </w:rPr>
        <w:t>10 Testing Results and Observations</w:t>
      </w:r>
    </w:p>
    <w:p>
      <w:pPr>
        <w:pStyle w:val="ListBullet"/>
      </w:pPr>
      <w:r>
        <w:rPr>
          <w:rFonts w:ascii="Times New Roman" w:hAnsi="Times New Roman"/>
          <w:b w:val="0"/>
        </w:rPr>
        <w:t>11 Discussion Limitations and Risks</w:t>
      </w:r>
    </w:p>
    <w:p>
      <w:pPr>
        <w:pStyle w:val="ListBullet"/>
      </w:pPr>
      <w:r>
        <w:rPr>
          <w:rFonts w:ascii="Times New Roman" w:hAnsi="Times New Roman"/>
          <w:b w:val="0"/>
        </w:rPr>
        <w:t>12 Team Contribution and Version Control</w:t>
      </w:r>
    </w:p>
    <w:p>
      <w:pPr>
        <w:pStyle w:val="ListBullet"/>
      </w:pPr>
      <w:r>
        <w:rPr>
          <w:rFonts w:ascii="Times New Roman" w:hAnsi="Times New Roman"/>
          <w:b w:val="0"/>
        </w:rPr>
        <w:t>13 Conclusion and Future Enhancements</w:t>
      </w:r>
    </w:p>
    <w:p>
      <w:pPr>
        <w:pStyle w:val="ListBullet"/>
      </w:pPr>
      <w:r>
        <w:rPr>
          <w:rFonts w:ascii="Times New Roman" w:hAnsi="Times New Roman"/>
        </w:rPr>
        <w:t>References</w:t>
      </w:r>
    </w:p>
    <w:p>
      <w:pPr>
        <w:pStyle w:val="ListBullet"/>
      </w:pPr>
      <w:r>
        <w:rPr>
          <w:rFonts w:ascii="Times New Roman" w:hAnsi="Times New Roman"/>
          <w:b w:val="0"/>
        </w:rPr>
        <w:t>Appendix A Project Timeline</w:t>
      </w:r>
    </w:p>
    <w:p>
      <w:pPr>
        <w:pStyle w:val="ListBullet"/>
      </w:pPr>
      <w:r>
        <w:rPr>
          <w:rFonts w:ascii="Times New Roman" w:hAnsi="Times New Roman"/>
          <w:b w:val="0"/>
        </w:rPr>
        <w:t>Appendix B Completion Review</w:t>
      </w:r>
    </w:p>
    <w:p>
      <w:pPr>
        <w:pStyle w:val="Heading1"/>
        <w:pageBreakBefore/>
      </w:pPr>
      <w:r>
        <w:rPr>
          <w:color w:val="000000"/>
        </w:rPr>
        <w:t>1 Introduction</w:t>
      </w:r>
    </w:p>
    <w:p>
      <w:pPr>
        <w:pStyle w:val="Heading2"/>
      </w:pPr>
      <w:r>
        <w:rPr>
          <w:color w:val="000000"/>
        </w:rPr>
        <w:t>1 1 Background</w:t>
      </w:r>
    </w:p>
    <w:p>
      <w:pPr>
        <w:jc w:val="both"/>
      </w:pPr>
      <w:r>
        <w:rPr>
          <w:rFonts w:ascii="Times New Roman" w:hAnsi="Times New Roman"/>
          <w:b w:val="0"/>
        </w:rPr>
        <w:t>Medical imaging archives contain related studies, series and files that must remain usable together. MRI studies commonly require several complementary sequences, and associated clinical fields must be linked to the correct subject. Storage-class selection therefore needs explicit access requirements and reliable bundle metadata alongside a monetary comparison. The current project centres on a local cancer-imaging archive, with Amazon S3 classes serving as the target storage policy vocabulary.</w:t>
      </w:r>
    </w:p>
    <w:p>
      <w:pPr>
        <w:pStyle w:val="Heading2"/>
      </w:pPr>
      <w:r>
        <w:rPr>
          <w:color w:val="000000"/>
        </w:rPr>
        <w:t>1 2 Problem Statement</w:t>
      </w:r>
    </w:p>
    <w:p>
      <w:pPr>
        <w:jc w:val="both"/>
      </w:pPr>
      <w:r>
        <w:rPr>
          <w:rFonts w:ascii="Times New Roman" w:hAnsi="Times New Roman"/>
          <w:b w:val="0"/>
        </w:rPr>
        <w:t>The problem is to recommend the lowest modeled-cost class for a complete imaging study while respecting a declared maximum access delay, active-use periods, manual holds, sequence completeness and clinical-linkage status. A cheap recommendation is insufficient if the study is incomplete or its use requires immediate access. The current implementation makes these constraints visible, evaluates object-level fees, and requires a reviewable action before recording simulated placement.</w:t>
      </w:r>
    </w:p>
    <w:p>
      <w:pPr>
        <w:pStyle w:val="Heading2"/>
      </w:pPr>
      <w:r>
        <w:rPr>
          <w:color w:val="000000"/>
        </w:rPr>
        <w:t>1 3 Motivation and Significance</w:t>
      </w:r>
    </w:p>
    <w:p>
      <w:pPr>
        <w:jc w:val="both"/>
      </w:pPr>
      <w:r>
        <w:rPr>
          <w:rFonts w:ascii="Times New Roman" w:hAnsi="Times New Roman"/>
          <w:b w:val="0"/>
        </w:rPr>
        <w:t>The literature review motivates transparent cloud cost modeling, medical-data preparation and auditable archive operations. The current project translates these concerns into a working study workspace. It keeps research segmentation, clinical linkage and storage policy separately inspectable so an administrator can understand a recommendation without treating image-derived measurements as evidence of future retrieval.</w:t>
      </w:r>
    </w:p>
    <w:p>
      <w:pPr>
        <w:pStyle w:val="Heading2"/>
      </w:pPr>
      <w:r>
        <w:rPr>
          <w:color w:val="000000"/>
        </w:rPr>
        <w:t>1 4 Scope</w:t>
      </w:r>
    </w:p>
    <w:p>
      <w:pPr>
        <w:jc w:val="both"/>
      </w:pPr>
      <w:r>
        <w:rPr>
          <w:rFonts w:ascii="Times New Roman" w:hAnsi="Times New Roman"/>
          <w:b w:val="0"/>
        </w:rPr>
        <w:t>Included in the current local release: study and object persistence; validated DICOM/NIfTI uploads; exact clinical CSV matching; three-plane NIfTI previews; a frozen four-sequence MRI segmentation worker; explicit study access requirements; per-tier modeled costs; reviewed local placement, local bundle restore and audit history; responsive archive overview, explorer, quality queue, imports, operations and cost pages. The earlier X-ray application and AWS implementation remain available separately. Excluded from completion claims: local model training, clinical diagnosis, automatic raw-DICOM preprocessing, provider-driven dataset acquisition, live hospital integration, v2 AWS study operations and production governance.</w:t>
      </w:r>
    </w:p>
    <w:p>
      <w:pPr>
        <w:pStyle w:val="Heading2"/>
      </w:pPr>
      <w:r>
        <w:rPr>
          <w:color w:val="000000"/>
        </w:rPr>
        <w:t>1 5 Report Organisation</w:t>
      </w:r>
    </w:p>
    <w:p>
      <w:pPr>
        <w:jc w:val="both"/>
      </w:pPr>
      <w:r>
        <w:rPr>
          <w:rFonts w:ascii="Times New Roman" w:hAnsi="Times New Roman"/>
          <w:b w:val="0"/>
        </w:rPr>
        <w:t>The report retains the original literature survey and academic structure while describing the current study-archive implementation. Sections 3 to 6 cover objectives, contribution, architecture and inputs. Sections 7 to 10 distinguish AWS infrastructure, implemented local behavior and validation evidence. Sections 11 to 13 record limitations, team ownership and remaining milestones.</w:t>
      </w:r>
    </w:p>
    <w:p>
      <w:pPr>
        <w:pStyle w:val="Heading1"/>
      </w:pPr>
      <w:r>
        <w:rPr>
          <w:color w:val="000000"/>
        </w:rPr>
        <w:t>2 Literature Survey and Related Work</w:t>
      </w:r>
    </w:p>
    <w:p>
      <w:r>
        <w:rPr>
          <w:rFonts w:ascii="Times New Roman" w:hAnsi="Times New Roman"/>
        </w:rPr>
        <w:t>Fifteen papers were reviewed, five by each member (P1–P5 Pratyush Chandrasekhar, P6–P10 Subhrojyoti Das, P11–P15 Mehul Anand). Ten are from Springer, MDPI, Nature Portfolio and Frontiers journals; P6–P10 are recent (2025–2026) arXiv preprints, chosen because they are the most current work on learned storage placement and open medical-imaging platforms. P5, P11 and P15 (2022) fall outside the preferred 2023–2026 window but are kept because they are the closest prior work on learning where healthcare data should be stored. Table 1 summarises each paper and its relation to this project.</w:t>
      </w:r>
    </w:p>
    <w:p>
      <w:pPr>
        <w:keepNext/>
        <w:spacing w:after="80"/>
      </w:pPr>
      <w:r>
        <w:rPr>
          <w:rFonts w:ascii="Times New Roman" w:hAnsi="Times New Roman"/>
          <w:b/>
          <w:sz w:val="21"/>
        </w:rPr>
        <w:t>Table 1. Literature survey of the 15 reviewed papers.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1560"/>
        <w:gridCol w:w="1560"/>
        <w:gridCol w:w="1560"/>
        <w:gridCol w:w="1560"/>
        <w:gridCol w:w="1560"/>
      </w:tblGrid>
      <w:tr>
        <w:trPr>
          <w:tblHeader w:val="true"/>
        </w:trPr>
        <w:tc>
          <w:tcPr>
            <w:tcW w:type="dxa" w:w="1560"/>
            <w:vAlign w:val="center"/>
            <w:shd w:fill="D9EAF7"/>
          </w:tcPr>
          <w:p>
            <w:pPr>
              <w:keepNext/>
              <w:spacing w:line="240" w:lineRule="auto"/>
            </w:pPr>
            <w:r/>
            <w:r>
              <w:rPr>
                <w:rFonts w:ascii="Times New Roman" w:hAnsi="Times New Roman"/>
                <w:b/>
                <w:sz w:val="20"/>
              </w:rPr>
              <w:t>Paper ID</w:t>
            </w:r>
          </w:p>
        </w:tc>
        <w:tc>
          <w:tcPr>
            <w:tcW w:type="dxa" w:w="1560"/>
            <w:vAlign w:val="center"/>
            <w:shd w:fill="D9EAF7"/>
          </w:tcPr>
          <w:p>
            <w:pPr>
              <w:keepNext/>
              <w:spacing w:line="240" w:lineRule="auto"/>
            </w:pPr>
            <w:r/>
            <w:r>
              <w:rPr>
                <w:rFonts w:ascii="Times New Roman" w:hAnsi="Times New Roman"/>
                <w:b/>
                <w:sz w:val="20"/>
              </w:rPr>
              <w:t>Full citation / DOI / URL</w:t>
            </w:r>
          </w:p>
        </w:tc>
        <w:tc>
          <w:tcPr>
            <w:tcW w:type="dxa" w:w="1560"/>
            <w:vAlign w:val="center"/>
            <w:shd w:fill="D9EAF7"/>
          </w:tcPr>
          <w:p>
            <w:pPr>
              <w:keepNext/>
              <w:spacing w:line="240" w:lineRule="auto"/>
            </w:pPr>
            <w:r/>
            <w:r>
              <w:rPr>
                <w:rFonts w:ascii="Times New Roman" w:hAnsi="Times New Roman"/>
                <w:b/>
                <w:sz w:val="20"/>
              </w:rPr>
              <w:t>Problem addressed</w:t>
            </w:r>
          </w:p>
        </w:tc>
        <w:tc>
          <w:tcPr>
            <w:tcW w:type="dxa" w:w="1560"/>
            <w:vAlign w:val="center"/>
            <w:shd w:fill="D9EAF7"/>
          </w:tcPr>
          <w:p>
            <w:pPr>
              <w:keepNext/>
              <w:spacing w:line="240" w:lineRule="auto"/>
            </w:pPr>
            <w:r/>
            <w:r>
              <w:rPr>
                <w:rFonts w:ascii="Times New Roman" w:hAnsi="Times New Roman"/>
                <w:b/>
                <w:sz w:val="20"/>
              </w:rPr>
              <w:t>Method / architecture</w:t>
            </w:r>
          </w:p>
        </w:tc>
        <w:tc>
          <w:tcPr>
            <w:tcW w:type="dxa" w:w="1560"/>
            <w:vAlign w:val="center"/>
            <w:shd w:fill="D9EAF7"/>
          </w:tcPr>
          <w:p>
            <w:pPr>
              <w:keepNext/>
              <w:spacing w:line="240" w:lineRule="auto"/>
            </w:pPr>
            <w:r/>
            <w:r>
              <w:rPr>
                <w:rFonts w:ascii="Times New Roman" w:hAnsi="Times New Roman"/>
                <w:b/>
                <w:sz w:val="20"/>
              </w:rPr>
              <w:t>Dataset / evaluation</w:t>
            </w:r>
          </w:p>
        </w:tc>
        <w:tc>
          <w:tcPr>
            <w:tcW w:type="dxa" w:w="1560"/>
            <w:vAlign w:val="center"/>
            <w:shd w:fill="D9EAF7"/>
          </w:tcPr>
          <w:p>
            <w:pPr>
              <w:keepNext/>
              <w:spacing w:line="240" w:lineRule="auto"/>
            </w:pPr>
            <w:r/>
            <w:r>
              <w:rPr>
                <w:rFonts w:ascii="Times New Roman" w:hAnsi="Times New Roman"/>
                <w:b/>
                <w:sz w:val="20"/>
              </w:rPr>
              <w:t>Key findings</w:t>
            </w:r>
          </w:p>
        </w:tc>
      </w:tr>
      <w:tr>
        <w:trPr>
          <w:cantSplit w:val="true"/>
        </w:trPr>
        <w:tc>
          <w:tcPr>
            <w:tcW w:type="dxa" w:w="1560"/>
            <w:vAlign w:val="top"/>
          </w:tcPr>
          <w:p>
            <w:pPr>
              <w:keepNext w:val="0"/>
              <w:spacing w:line="240" w:lineRule="auto" w:after="0" w:before="0"/>
            </w:pPr>
            <w:r>
              <w:rPr>
                <w:rFonts w:ascii="Times New Roman" w:hAnsi="Times New Roman"/>
                <w:sz w:val="17"/>
              </w:rPr>
              <w:t>P1</w:t>
            </w:r>
          </w:p>
        </w:tc>
        <w:tc>
          <w:tcPr>
            <w:tcW w:type="dxa" w:w="1560"/>
            <w:vAlign w:val="top"/>
          </w:tcPr>
          <w:p>
            <w:pPr>
              <w:keepNext w:val="0"/>
              <w:spacing w:line="240" w:lineRule="auto" w:after="0" w:before="0"/>
            </w:pPr>
            <w:r>
              <w:rPr>
                <w:rFonts w:ascii="Times New Roman" w:hAnsi="Times New Roman"/>
                <w:sz w:val="17"/>
              </w:rPr>
              <w:t>Khan, Matskin, Prodan, Bussler, Roman &amp; Soylu (2024). Computing, 106, 3389–3418. doi:10.1007/s00607-024-01281-2</w:t>
            </w:r>
          </w:p>
        </w:tc>
        <w:tc>
          <w:tcPr>
            <w:tcW w:type="dxa" w:w="1560"/>
            <w:vAlign w:val="top"/>
          </w:tcPr>
          <w:p>
            <w:pPr>
              <w:keepNext w:val="0"/>
              <w:spacing w:line="240" w:lineRule="auto" w:after="0" w:before="0"/>
            </w:pPr>
            <w:r>
              <w:rPr>
                <w:rFonts w:ascii="Times New Roman" w:hAnsi="Times New Roman"/>
                <w:sz w:val="17"/>
              </w:rPr>
              <w:t>Cut cloud storage cost by placing objects in the right tier</w:t>
            </w:r>
          </w:p>
        </w:tc>
        <w:tc>
          <w:tcPr>
            <w:tcW w:type="dxa" w:w="1560"/>
            <w:vAlign w:val="top"/>
          </w:tcPr>
          <w:p>
            <w:pPr>
              <w:keepNext w:val="0"/>
              <w:spacing w:line="240" w:lineRule="auto" w:after="0" w:before="0"/>
            </w:pPr>
            <w:r>
              <w:rPr>
                <w:rFonts w:ascii="Times New Roman" w:hAnsi="Times New Roman"/>
                <w:sz w:val="17"/>
              </w:rPr>
              <w:t>Rule-based score from size, age and access frequency → premium/hot/cold/archive; game-theory variant tunes weights</w:t>
            </w:r>
          </w:p>
        </w:tc>
        <w:tc>
          <w:tcPr>
            <w:tcW w:type="dxa" w:w="1560"/>
            <w:vAlign w:val="top"/>
          </w:tcPr>
          <w:p>
            <w:pPr>
              <w:keepNext w:val="0"/>
              <w:spacing w:line="240" w:lineRule="auto" w:after="0" w:before="0"/>
            </w:pPr>
            <w:r>
              <w:rPr>
                <w:rFonts w:ascii="Times New Roman" w:hAnsi="Times New Roman"/>
                <w:sz w:val="17"/>
              </w:rPr>
              <w:t>Synthetic data from a Kaggle access log: 871 days, 14,321 files, ~2.9 M reads; 1–67 TB; Google Cloud prices</w:t>
            </w:r>
          </w:p>
        </w:tc>
        <w:tc>
          <w:tcPr>
            <w:tcW w:type="dxa" w:w="1560"/>
            <w:vAlign w:val="top"/>
          </w:tcPr>
          <w:p>
            <w:pPr>
              <w:keepNext w:val="0"/>
              <w:spacing w:line="240" w:lineRule="auto" w:after="0" w:before="0"/>
            </w:pPr>
            <w:r>
              <w:rPr>
                <w:rFonts w:ascii="Times New Roman" w:hAnsi="Times New Roman"/>
                <w:sz w:val="17"/>
              </w:rPr>
              <w:t>Four-tier placement lowers cost; game-theory variant slightly cheaper and faster; transition and early-deletion fees omitted</w:t>
            </w:r>
          </w:p>
        </w:tc>
      </w:tr>
      <w:tr>
        <w:trPr>
          <w:cantSplit w:val="true"/>
        </w:trPr>
        <w:tc>
          <w:tcPr>
            <w:tcW w:type="dxa" w:w="1560"/>
            <w:vAlign w:val="top"/>
          </w:tcPr>
          <w:p>
            <w:pPr>
              <w:keepNext w:val="0"/>
              <w:spacing w:line="240" w:lineRule="auto" w:after="0" w:before="0"/>
            </w:pPr>
            <w:r>
              <w:rPr>
                <w:rFonts w:ascii="Times New Roman" w:hAnsi="Times New Roman"/>
                <w:sz w:val="17"/>
              </w:rPr>
              <w:t>P2</w:t>
            </w:r>
          </w:p>
        </w:tc>
        <w:tc>
          <w:tcPr>
            <w:tcW w:type="dxa" w:w="1560"/>
            <w:vAlign w:val="top"/>
          </w:tcPr>
          <w:p>
            <w:pPr>
              <w:keepNext w:val="0"/>
              <w:spacing w:line="240" w:lineRule="auto" w:after="0" w:before="0"/>
            </w:pPr>
            <w:r>
              <w:rPr>
                <w:rFonts w:ascii="Times New Roman" w:hAnsi="Times New Roman"/>
                <w:sz w:val="17"/>
              </w:rPr>
              <w:t>Shakor &amp; Khaleel (2024). Electronics, 13(24), 4860. doi:10.3390/electronics13244860</w:t>
            </w:r>
          </w:p>
        </w:tc>
        <w:tc>
          <w:tcPr>
            <w:tcW w:type="dxa" w:w="1560"/>
            <w:vAlign w:val="top"/>
          </w:tcPr>
          <w:p>
            <w:pPr>
              <w:keepNext w:val="0"/>
              <w:spacing w:line="240" w:lineRule="auto" w:after="0" w:before="0"/>
            </w:pPr>
            <w:r>
              <w:rPr>
                <w:rFonts w:ascii="Times New Roman" w:hAnsi="Times New Roman"/>
                <w:sz w:val="17"/>
              </w:rPr>
              <w:t>Survey of deep learning + cloud for big medical image data</w:t>
            </w:r>
          </w:p>
        </w:tc>
        <w:tc>
          <w:tcPr>
            <w:tcW w:type="dxa" w:w="1560"/>
            <w:vAlign w:val="top"/>
          </w:tcPr>
          <w:p>
            <w:pPr>
              <w:keepNext w:val="0"/>
              <w:spacing w:line="240" w:lineRule="auto" w:after="0" w:before="0"/>
            </w:pPr>
            <w:r>
              <w:rPr>
                <w:rFonts w:ascii="Times New Roman" w:hAnsi="Times New Roman"/>
                <w:sz w:val="17"/>
              </w:rPr>
              <w:t>Systematic review of 37 papers (2019–Nov 2024) plus hospital case studies</w:t>
            </w:r>
          </w:p>
        </w:tc>
        <w:tc>
          <w:tcPr>
            <w:tcW w:type="dxa" w:w="1560"/>
            <w:vAlign w:val="top"/>
          </w:tcPr>
          <w:p>
            <w:pPr>
              <w:keepNext w:val="0"/>
              <w:spacing w:line="240" w:lineRule="auto" w:after="0" w:before="0"/>
            </w:pPr>
            <w:r>
              <w:rPr>
                <w:rFonts w:ascii="Times New Roman" w:hAnsi="Times New Roman"/>
                <w:sz w:val="17"/>
              </w:rPr>
              <w:t>No experiment; e.g. 5 hospitals, 1.2 M scans/year on hybrid cloud</w:t>
            </w:r>
          </w:p>
        </w:tc>
        <w:tc>
          <w:tcPr>
            <w:tcW w:type="dxa" w:w="1560"/>
            <w:vAlign w:val="top"/>
          </w:tcPr>
          <w:p>
            <w:pPr>
              <w:keepNext w:val="0"/>
              <w:spacing w:line="240" w:lineRule="auto" w:after="0" w:before="0"/>
            </w:pPr>
            <w:r>
              <w:rPr>
                <w:rFonts w:ascii="Times New Roman" w:hAnsi="Times New Roman"/>
                <w:sz w:val="17"/>
              </w:rPr>
              <w:t>Retrieval time 5–7 min → ~30 s; ~40% lower infrastructure cost; storage cost is a major problem; DL used only for diagnosis</w:t>
            </w:r>
          </w:p>
        </w:tc>
      </w:tr>
      <w:tr>
        <w:trPr>
          <w:cantSplit w:val="true"/>
        </w:trPr>
        <w:tc>
          <w:tcPr>
            <w:tcW w:type="dxa" w:w="1560"/>
            <w:vAlign w:val="top"/>
          </w:tcPr>
          <w:p>
            <w:pPr>
              <w:keepNext w:val="0"/>
              <w:spacing w:line="240" w:lineRule="auto" w:after="0" w:before="0"/>
            </w:pPr>
            <w:r>
              <w:rPr>
                <w:rFonts w:ascii="Times New Roman" w:hAnsi="Times New Roman"/>
                <w:sz w:val="17"/>
              </w:rPr>
              <w:t>P3</w:t>
            </w:r>
          </w:p>
        </w:tc>
        <w:tc>
          <w:tcPr>
            <w:tcW w:type="dxa" w:w="1560"/>
            <w:vAlign w:val="top"/>
          </w:tcPr>
          <w:p>
            <w:pPr>
              <w:keepNext w:val="0"/>
              <w:spacing w:line="240" w:lineRule="auto" w:after="0" w:before="0"/>
            </w:pPr>
            <w:r>
              <w:rPr>
                <w:rFonts w:ascii="Times New Roman" w:hAnsi="Times New Roman"/>
                <w:sz w:val="17"/>
              </w:rPr>
              <w:t>Urbaniak (2024). Applied Sciences, 14(22), 10524. doi:10.3390/app142210524</w:t>
            </w:r>
          </w:p>
        </w:tc>
        <w:tc>
          <w:tcPr>
            <w:tcW w:type="dxa" w:w="1560"/>
            <w:vAlign w:val="top"/>
          </w:tcPr>
          <w:p>
            <w:pPr>
              <w:keepNext w:val="0"/>
              <w:spacing w:line="240" w:lineRule="auto" w:after="0" w:before="0"/>
            </w:pPr>
            <w:r>
              <w:rPr>
                <w:rFonts w:ascii="Times New Roman" w:hAnsi="Times New Roman"/>
                <w:sz w:val="17"/>
              </w:rPr>
              <w:t>Effect of lossy JPEG/JPEG2000 compression on deep learning</w:t>
            </w:r>
          </w:p>
        </w:tc>
        <w:tc>
          <w:tcPr>
            <w:tcW w:type="dxa" w:w="1560"/>
            <w:vAlign w:val="top"/>
          </w:tcPr>
          <w:p>
            <w:pPr>
              <w:keepNext w:val="0"/>
              <w:spacing w:line="240" w:lineRule="auto" w:after="0" w:before="0"/>
            </w:pPr>
            <w:r>
              <w:rPr>
                <w:rFonts w:ascii="Times New Roman" w:hAnsi="Times New Roman"/>
                <w:sz w:val="17"/>
              </w:rPr>
              <w:t>Review of studies training/testing on compressed, uncompressed and mixed images</w:t>
            </w:r>
          </w:p>
        </w:tc>
        <w:tc>
          <w:tcPr>
            <w:tcW w:type="dxa" w:w="1560"/>
            <w:vAlign w:val="top"/>
          </w:tcPr>
          <w:p>
            <w:pPr>
              <w:keepNext w:val="0"/>
              <w:spacing w:line="240" w:lineRule="auto" w:after="0" w:before="0"/>
            </w:pPr>
            <w:r>
              <w:rPr>
                <w:rFonts w:ascii="Times New Roman" w:hAnsi="Times New Roman"/>
                <w:sz w:val="17"/>
              </w:rPr>
              <w:t>Prior studies on MNIST, CIFAR-10, mammography, digital pathology</w:t>
            </w:r>
          </w:p>
        </w:tc>
        <w:tc>
          <w:tcPr>
            <w:tcW w:type="dxa" w:w="1560"/>
            <w:vAlign w:val="top"/>
          </w:tcPr>
          <w:p>
            <w:pPr>
              <w:keepNext w:val="0"/>
              <w:spacing w:line="240" w:lineRule="auto" w:after="0" w:before="0"/>
            </w:pPr>
            <w:r>
              <w:rPr>
                <w:rFonts w:ascii="Times New Roman" w:hAnsi="Times New Roman"/>
                <w:sz w:val="17"/>
              </w:rPr>
              <w:t>85% compression kept ~95% performance (pathology); no agreed safe limit per modality; compression fixed for whole archive</w:t>
            </w:r>
          </w:p>
        </w:tc>
      </w:tr>
      <w:tr>
        <w:trPr>
          <w:cantSplit w:val="true"/>
        </w:trPr>
        <w:tc>
          <w:tcPr>
            <w:tcW w:type="dxa" w:w="1560"/>
            <w:vAlign w:val="top"/>
          </w:tcPr>
          <w:p>
            <w:pPr>
              <w:keepNext w:val="0"/>
              <w:spacing w:line="240" w:lineRule="auto" w:after="0" w:before="0"/>
            </w:pPr>
            <w:r>
              <w:rPr>
                <w:rFonts w:ascii="Times New Roman" w:hAnsi="Times New Roman"/>
                <w:sz w:val="17"/>
              </w:rPr>
              <w:t>P4</w:t>
            </w:r>
          </w:p>
        </w:tc>
        <w:tc>
          <w:tcPr>
            <w:tcW w:type="dxa" w:w="1560"/>
            <w:vAlign w:val="top"/>
          </w:tcPr>
          <w:p>
            <w:pPr>
              <w:keepNext w:val="0"/>
              <w:spacing w:line="240" w:lineRule="auto" w:after="0" w:before="0"/>
            </w:pPr>
            <w:r>
              <w:rPr>
                <w:rFonts w:ascii="Times New Roman" w:hAnsi="Times New Roman"/>
                <w:sz w:val="17"/>
              </w:rPr>
              <w:t>Dai (2025). Scientific Reports, 15, 40008. doi:10.1038/s41598-025-23582-y</w:t>
            </w:r>
          </w:p>
        </w:tc>
        <w:tc>
          <w:tcPr>
            <w:tcW w:type="dxa" w:w="1560"/>
            <w:vAlign w:val="top"/>
          </w:tcPr>
          <w:p>
            <w:pPr>
              <w:keepNext w:val="0"/>
              <w:spacing w:line="240" w:lineRule="auto" w:after="0" w:before="0"/>
            </w:pPr>
            <w:r>
              <w:rPr>
                <w:rFonts w:ascii="Times New Roman" w:hAnsi="Times New Roman"/>
                <w:sz w:val="17"/>
              </w:rPr>
              <w:t>Compress medical images without losing diagnostic detail</w:t>
            </w:r>
          </w:p>
        </w:tc>
        <w:tc>
          <w:tcPr>
            <w:tcW w:type="dxa" w:w="1560"/>
            <w:vAlign w:val="top"/>
          </w:tcPr>
          <w:p>
            <w:pPr>
              <w:keepNext w:val="0"/>
              <w:spacing w:line="240" w:lineRule="auto" w:after="0" w:before="0"/>
            </w:pPr>
            <w:r>
              <w:rPr>
                <w:rFonts w:ascii="Times New Roman" w:hAnsi="Times New Roman"/>
                <w:sz w:val="17"/>
              </w:rPr>
              <w:t>Wavelet transform + cross-attention module + small autoencoder; learned decoder</w:t>
            </w:r>
          </w:p>
        </w:tc>
        <w:tc>
          <w:tcPr>
            <w:tcW w:type="dxa" w:w="1560"/>
            <w:vAlign w:val="top"/>
          </w:tcPr>
          <w:p>
            <w:pPr>
              <w:keepNext w:val="0"/>
              <w:spacing w:line="240" w:lineRule="auto" w:after="0" w:before="0"/>
            </w:pPr>
            <w:r>
              <w:rPr>
                <w:rFonts w:ascii="Times New Roman" w:hAnsi="Times New Roman"/>
                <w:sz w:val="17"/>
              </w:rPr>
              <w:t>LIDC-IDRI, LUNA16, MosMed CT (70/15/15, 5-fold) + brain MRI; PSNR, SSIM, time</w:t>
            </w:r>
          </w:p>
        </w:tc>
        <w:tc>
          <w:tcPr>
            <w:tcW w:type="dxa" w:w="1560"/>
            <w:vAlign w:val="top"/>
          </w:tcPr>
          <w:p>
            <w:pPr>
              <w:keepNext w:val="0"/>
              <w:spacing w:line="240" w:lineRule="auto" w:after="0" w:before="0"/>
            </w:pPr>
            <w:r>
              <w:rPr>
                <w:rFonts w:ascii="Times New Roman" w:hAnsi="Times New Roman"/>
                <w:sz w:val="17"/>
              </w:rPr>
              <w:t>PSNR 40.43 dB, SSIM 0.9715, 635 ms/image on CPU; beats JPEG2000, HEVC, BPG; attention output discarded after compression</w:t>
            </w:r>
          </w:p>
        </w:tc>
      </w:tr>
      <w:tr>
        <w:trPr>
          <w:cantSplit w:val="true"/>
        </w:trPr>
        <w:tc>
          <w:tcPr>
            <w:tcW w:type="dxa" w:w="1560"/>
            <w:vAlign w:val="top"/>
          </w:tcPr>
          <w:p>
            <w:pPr>
              <w:keepNext w:val="0"/>
              <w:spacing w:line="240" w:lineRule="auto" w:after="0" w:before="0"/>
            </w:pPr>
            <w:r>
              <w:rPr>
                <w:rFonts w:ascii="Times New Roman" w:hAnsi="Times New Roman"/>
                <w:sz w:val="17"/>
              </w:rPr>
              <w:t>P5</w:t>
            </w:r>
          </w:p>
        </w:tc>
        <w:tc>
          <w:tcPr>
            <w:tcW w:type="dxa" w:w="1560"/>
            <w:vAlign w:val="top"/>
          </w:tcPr>
          <w:p>
            <w:pPr>
              <w:keepNext w:val="0"/>
              <w:spacing w:line="240" w:lineRule="auto" w:after="0" w:before="0"/>
            </w:pPr>
            <w:r>
              <w:rPr>
                <w:rFonts w:ascii="Times New Roman" w:hAnsi="Times New Roman"/>
                <w:sz w:val="17"/>
              </w:rPr>
              <w:t>Mani, Kavitha, Band, Mosavi, Hollins &amp; Palanisamy (2022). Frontiers in Public Health, 9, 831404. doi:10.3389/fpubh.2021.831404</w:t>
            </w:r>
          </w:p>
        </w:tc>
        <w:tc>
          <w:tcPr>
            <w:tcW w:type="dxa" w:w="1560"/>
            <w:vAlign w:val="top"/>
          </w:tcPr>
          <w:p>
            <w:pPr>
              <w:keepNext w:val="0"/>
              <w:spacing w:line="240" w:lineRule="auto" w:after="0" w:before="0"/>
            </w:pPr>
            <w:r>
              <w:rPr>
                <w:rFonts w:ascii="Times New Roman" w:hAnsi="Times New Roman"/>
                <w:sz w:val="17"/>
              </w:rPr>
              <w:t>Recommend where to store EHR data blocks</w:t>
            </w:r>
          </w:p>
        </w:tc>
        <w:tc>
          <w:tcPr>
            <w:tcW w:type="dxa" w:w="1560"/>
            <w:vAlign w:val="top"/>
          </w:tcPr>
          <w:p>
            <w:pPr>
              <w:keepNext w:val="0"/>
              <w:spacing w:line="240" w:lineRule="auto" w:after="0" w:before="0"/>
            </w:pPr>
            <w:r>
              <w:rPr>
                <w:rFonts w:ascii="Times New Roman" w:hAnsi="Times New Roman"/>
                <w:sz w:val="17"/>
              </w:rPr>
              <w:t>Experts rate storage options on five criteria; MLP, Random Forest, Random Tree, IB1 (WEKA) and a DL model</w:t>
            </w:r>
          </w:p>
        </w:tc>
        <w:tc>
          <w:tcPr>
            <w:tcW w:type="dxa" w:w="1560"/>
            <w:vAlign w:val="top"/>
          </w:tcPr>
          <w:p>
            <w:pPr>
              <w:keepNext w:val="0"/>
              <w:spacing w:line="240" w:lineRule="auto" w:after="0" w:before="0"/>
            </w:pPr>
            <w:r>
              <w:rPr>
                <w:rFonts w:ascii="Times New Roman" w:hAnsi="Times New Roman"/>
                <w:sz w:val="17"/>
              </w:rPr>
              <w:t>Synthetic 1,200- and 2,000-record sets from expert ratings; accuracy, precision, recall, F1</w:t>
            </w:r>
          </w:p>
        </w:tc>
        <w:tc>
          <w:tcPr>
            <w:tcW w:type="dxa" w:w="1560"/>
            <w:vAlign w:val="top"/>
          </w:tcPr>
          <w:p>
            <w:pPr>
              <w:keepNext w:val="0"/>
              <w:spacing w:line="240" w:lineRule="auto" w:after="0" w:before="0"/>
            </w:pPr>
            <w:r>
              <w:rPr>
                <w:rFonts w:ascii="Times New Roman" w:hAnsi="Times New Roman"/>
                <w:sz w:val="17"/>
              </w:rPr>
              <w:t>Random Forest 98.21% on 1,200 records, DL 88.70%; storage choice can be learned, but only once, on text, from opinion</w:t>
            </w:r>
          </w:p>
        </w:tc>
      </w:tr>
      <w:tr>
        <w:trPr>
          <w:cantSplit w:val="true"/>
        </w:trPr>
        <w:tc>
          <w:tcPr>
            <w:tcW w:type="dxa" w:w="1560"/>
            <w:vAlign w:val="top"/>
          </w:tcPr>
          <w:p>
            <w:pPr>
              <w:keepNext w:val="0"/>
              <w:spacing w:line="240" w:lineRule="auto" w:after="0" w:before="0"/>
            </w:pPr>
            <w:r>
              <w:rPr>
                <w:rFonts w:ascii="Times New Roman" w:hAnsi="Times New Roman"/>
                <w:sz w:val="17"/>
              </w:rPr>
              <w:t>P6</w:t>
            </w:r>
          </w:p>
        </w:tc>
        <w:tc>
          <w:tcPr>
            <w:tcW w:type="dxa" w:w="1560"/>
            <w:vAlign w:val="top"/>
          </w:tcPr>
          <w:p>
            <w:pPr>
              <w:keepNext w:val="0"/>
              <w:spacing w:line="240" w:lineRule="auto" w:after="0" w:before="0"/>
            </w:pPr>
            <w:r>
              <w:rPr>
                <w:rFonts w:ascii="Times New Roman" w:hAnsi="Times New Roman"/>
                <w:sz w:val="17"/>
              </w:rPr>
              <w:t>Nadig, Arulchelvan, Bera, Shahroodi, Singh, Kakolyris, Yuksel, Sadrosadati, Park &amp; Mutlu (2025). Harmonia. arXiv:2503.20507</w:t>
            </w:r>
          </w:p>
        </w:tc>
        <w:tc>
          <w:tcPr>
            <w:tcW w:type="dxa" w:w="1560"/>
            <w:vAlign w:val="top"/>
          </w:tcPr>
          <w:p>
            <w:pPr>
              <w:keepNext w:val="0"/>
              <w:spacing w:line="240" w:lineRule="auto" w:after="0" w:before="0"/>
            </w:pPr>
            <w:r>
              <w:rPr>
                <w:rFonts w:ascii="Times New Roman" w:hAnsi="Times New Roman"/>
                <w:sz w:val="17"/>
              </w:rPr>
              <w:t>Data placement and migration in hybrid storage</w:t>
            </w:r>
          </w:p>
        </w:tc>
        <w:tc>
          <w:tcPr>
            <w:tcW w:type="dxa" w:w="1560"/>
            <w:vAlign w:val="top"/>
          </w:tcPr>
          <w:p>
            <w:pPr>
              <w:keepNext w:val="0"/>
              <w:spacing w:line="240" w:lineRule="auto" w:after="0" w:before="0"/>
            </w:pPr>
            <w:r>
              <w:rPr>
                <w:rFonts w:ascii="Times New Roman" w:hAnsi="Times New Roman"/>
                <w:sz w:val="17"/>
              </w:rPr>
              <w:t>Two cooperating RL agents: placement and migration; tiny models</w:t>
            </w:r>
          </w:p>
        </w:tc>
        <w:tc>
          <w:tcPr>
            <w:tcW w:type="dxa" w:w="1560"/>
            <w:vAlign w:val="top"/>
          </w:tcPr>
          <w:p>
            <w:pPr>
              <w:keepNext w:val="0"/>
              <w:spacing w:line="240" w:lineRule="auto" w:after="0" w:before="0"/>
            </w:pPr>
            <w:r>
              <w:rPr>
                <w:rFonts w:ascii="Times New Roman" w:hAnsi="Times New Roman"/>
                <w:sz w:val="17"/>
              </w:rPr>
              <w:t>25 real traces (SYSTOR17, RocksDB, YCSB, MLPerf, LLM, Meta Baleen unseen); real SSD/HDD hardware</w:t>
            </w:r>
          </w:p>
        </w:tc>
        <w:tc>
          <w:tcPr>
            <w:tcW w:type="dxa" w:w="1560"/>
            <w:vAlign w:val="top"/>
          </w:tcPr>
          <w:p>
            <w:pPr>
              <w:keepNext w:val="0"/>
              <w:spacing w:line="240" w:lineRule="auto" w:after="0" w:before="0"/>
            </w:pPr>
            <w:r>
              <w:rPr>
                <w:rFonts w:ascii="Times New Roman" w:hAnsi="Times New Roman"/>
                <w:sz w:val="17"/>
              </w:rPr>
              <w:t>29.3–44.8% lower latency, +136.7% IOPS; 240 ns per decision, 206 KiB; behaviour-only, no cloud bill</w:t>
            </w:r>
          </w:p>
        </w:tc>
      </w:tr>
      <w:tr>
        <w:trPr>
          <w:cantSplit w:val="true"/>
        </w:trPr>
        <w:tc>
          <w:tcPr>
            <w:tcW w:type="dxa" w:w="1560"/>
            <w:vAlign w:val="top"/>
          </w:tcPr>
          <w:p>
            <w:pPr>
              <w:keepNext w:val="0"/>
              <w:spacing w:line="240" w:lineRule="auto" w:after="0" w:before="0"/>
            </w:pPr>
            <w:r>
              <w:rPr>
                <w:rFonts w:ascii="Times New Roman" w:hAnsi="Times New Roman"/>
                <w:sz w:val="17"/>
              </w:rPr>
              <w:t>P7</w:t>
            </w:r>
          </w:p>
        </w:tc>
        <w:tc>
          <w:tcPr>
            <w:tcW w:type="dxa" w:w="1560"/>
            <w:vAlign w:val="top"/>
          </w:tcPr>
          <w:p>
            <w:pPr>
              <w:keepNext w:val="0"/>
              <w:spacing w:line="240" w:lineRule="auto" w:after="0" w:before="0"/>
            </w:pPr>
            <w:r>
              <w:rPr>
                <w:rFonts w:ascii="Times New Roman" w:hAnsi="Times New Roman"/>
                <w:sz w:val="17"/>
              </w:rPr>
              <w:t>Bera, Nadig &amp; Mutlu (2026). ML-driven intelligent memory system design. arXiv:2603.14583</w:t>
            </w:r>
          </w:p>
        </w:tc>
        <w:tc>
          <w:tcPr>
            <w:tcW w:type="dxa" w:w="1560"/>
            <w:vAlign w:val="top"/>
          </w:tcPr>
          <w:p>
            <w:pPr>
              <w:keepNext w:val="0"/>
              <w:spacing w:line="240" w:lineRule="auto" w:after="0" w:before="0"/>
            </w:pPr>
            <w:r>
              <w:rPr>
                <w:rFonts w:ascii="Times New Roman" w:hAnsi="Times New Roman"/>
                <w:sz w:val="17"/>
              </w:rPr>
              <w:t>Self-optimising memory and storage</w:t>
            </w:r>
          </w:p>
        </w:tc>
        <w:tc>
          <w:tcPr>
            <w:tcW w:type="dxa" w:w="1560"/>
            <w:vAlign w:val="top"/>
          </w:tcPr>
          <w:p>
            <w:pPr>
              <w:keepNext w:val="0"/>
              <w:spacing w:line="240" w:lineRule="auto" w:after="0" w:before="0"/>
            </w:pPr>
            <w:r>
              <w:rPr>
                <w:rFonts w:ascii="Times New Roman" w:hAnsi="Times New Roman"/>
                <w:sz w:val="17"/>
              </w:rPr>
              <w:t>Overview of Pythia (RL prefetcher), Hermes (perceptron) and Sibyl (RL data placement)</w:t>
            </w:r>
          </w:p>
        </w:tc>
        <w:tc>
          <w:tcPr>
            <w:tcW w:type="dxa" w:w="1560"/>
            <w:vAlign w:val="top"/>
          </w:tcPr>
          <w:p>
            <w:pPr>
              <w:keepNext w:val="0"/>
              <w:spacing w:line="240" w:lineRule="auto" w:after="0" w:before="0"/>
            </w:pPr>
            <w:r>
              <w:rPr>
                <w:rFonts w:ascii="Times New Roman" w:hAnsi="Times New Roman"/>
                <w:sz w:val="17"/>
              </w:rPr>
              <w:t>Sibyl: 14 MSR Cambridge enterprise traces on real machines; six behavioural inputs</w:t>
            </w:r>
          </w:p>
        </w:tc>
        <w:tc>
          <w:tcPr>
            <w:tcW w:type="dxa" w:w="1560"/>
            <w:vAlign w:val="top"/>
          </w:tcPr>
          <w:p>
            <w:pPr>
              <w:keepNext w:val="0"/>
              <w:spacing w:line="240" w:lineRule="auto" w:after="0" w:before="0"/>
            </w:pPr>
            <w:r>
              <w:rPr>
                <w:rFonts w:ascii="Times New Roman" w:hAnsi="Times New Roman"/>
                <w:sz w:val="17"/>
              </w:rPr>
              <w:t>Sibyl beats heuristics by 19.9–45.9% and prior ML by 34.1–68.8%; cold-start problem for new data</w:t>
            </w:r>
          </w:p>
        </w:tc>
      </w:tr>
      <w:tr>
        <w:trPr>
          <w:cantSplit w:val="true"/>
        </w:trPr>
        <w:tc>
          <w:tcPr>
            <w:tcW w:type="dxa" w:w="1560"/>
            <w:vAlign w:val="top"/>
          </w:tcPr>
          <w:p>
            <w:pPr>
              <w:keepNext w:val="0"/>
              <w:spacing w:line="240" w:lineRule="auto" w:after="0" w:before="0"/>
            </w:pPr>
            <w:r>
              <w:rPr>
                <w:rFonts w:ascii="Times New Roman" w:hAnsi="Times New Roman"/>
                <w:sz w:val="17"/>
              </w:rPr>
              <w:t>P8</w:t>
            </w:r>
          </w:p>
        </w:tc>
        <w:tc>
          <w:tcPr>
            <w:tcW w:type="dxa" w:w="1560"/>
            <w:vAlign w:val="top"/>
          </w:tcPr>
          <w:p>
            <w:pPr>
              <w:keepNext w:val="0"/>
              <w:spacing w:line="240" w:lineRule="auto" w:after="0" w:before="0"/>
            </w:pPr>
            <w:r>
              <w:rPr>
                <w:rFonts w:ascii="Times New Roman" w:hAnsi="Times New Roman"/>
                <w:sz w:val="17"/>
              </w:rPr>
              <w:t>Gupta &amp; Bhayani (2025). Cold-RL: offline RL cache eviction for NGINX. arXiv:2508.12485</w:t>
            </w:r>
          </w:p>
        </w:tc>
        <w:tc>
          <w:tcPr>
            <w:tcW w:type="dxa" w:w="1560"/>
            <w:vAlign w:val="top"/>
          </w:tcPr>
          <w:p>
            <w:pPr>
              <w:keepNext w:val="0"/>
              <w:spacing w:line="240" w:lineRule="auto" w:after="0" w:before="0"/>
            </w:pPr>
            <w:r>
              <w:rPr>
                <w:rFonts w:ascii="Times New Roman" w:hAnsi="Times New Roman"/>
                <w:sz w:val="17"/>
              </w:rPr>
              <w:t>Replace LRU eviction with a learned policy</w:t>
            </w:r>
          </w:p>
        </w:tc>
        <w:tc>
          <w:tcPr>
            <w:tcW w:type="dxa" w:w="1560"/>
            <w:vAlign w:val="top"/>
          </w:tcPr>
          <w:p>
            <w:pPr>
              <w:keepNext w:val="0"/>
              <w:spacing w:line="240" w:lineRule="auto" w:after="0" w:before="0"/>
            </w:pPr>
            <w:r>
              <w:rPr>
                <w:rFonts w:ascii="Times New Roman" w:hAnsi="Times New Roman"/>
                <w:sz w:val="17"/>
              </w:rPr>
              <w:t>Dueling DQN scores K LRU candidates on age, size, hits, TTL; trained offline from logs</w:t>
            </w:r>
          </w:p>
        </w:tc>
        <w:tc>
          <w:tcPr>
            <w:tcW w:type="dxa" w:w="1560"/>
            <w:vAlign w:val="top"/>
          </w:tcPr>
          <w:p>
            <w:pPr>
              <w:keepNext w:val="0"/>
              <w:spacing w:line="240" w:lineRule="auto" w:after="0" w:before="0"/>
            </w:pPr>
            <w:r>
              <w:rPr>
                <w:rFonts w:ascii="Times New Roman" w:hAnsi="Times New Roman"/>
                <w:sz w:val="17"/>
              </w:rPr>
              <w:t>Replayed NGINX access logs; 25, 100, 400 MB caches; hit rate, CPU</w:t>
            </w:r>
          </w:p>
        </w:tc>
        <w:tc>
          <w:tcPr>
            <w:tcW w:type="dxa" w:w="1560"/>
            <w:vAlign w:val="top"/>
          </w:tcPr>
          <w:p>
            <w:pPr>
              <w:keepNext w:val="0"/>
              <w:spacing w:line="240" w:lineRule="auto" w:after="0" w:before="0"/>
            </w:pPr>
            <w:r>
              <w:rPr>
                <w:rFonts w:ascii="Times New Roman" w:hAnsi="Times New Roman"/>
                <w:sz w:val="17"/>
              </w:rPr>
              <w:t>Hit rate 14.36% → 35.38% (25 MB) and 75.30% → 86.75% (100 MB); &lt;2% CPU; binary keep/evict; no cost</w:t>
            </w:r>
          </w:p>
        </w:tc>
      </w:tr>
      <w:tr>
        <w:trPr>
          <w:cantSplit w:val="true"/>
        </w:trPr>
        <w:tc>
          <w:tcPr>
            <w:tcW w:type="dxa" w:w="1560"/>
            <w:vAlign w:val="top"/>
          </w:tcPr>
          <w:p>
            <w:pPr>
              <w:keepNext w:val="0"/>
              <w:spacing w:line="240" w:lineRule="auto" w:after="0" w:before="0"/>
            </w:pPr>
            <w:r>
              <w:rPr>
                <w:rFonts w:ascii="Times New Roman" w:hAnsi="Times New Roman"/>
                <w:sz w:val="17"/>
              </w:rPr>
              <w:t>P9</w:t>
            </w:r>
          </w:p>
        </w:tc>
        <w:tc>
          <w:tcPr>
            <w:tcW w:type="dxa" w:w="1560"/>
            <w:vAlign w:val="top"/>
          </w:tcPr>
          <w:p>
            <w:pPr>
              <w:keepNext w:val="0"/>
              <w:spacing w:line="240" w:lineRule="auto" w:after="0" w:before="0"/>
            </w:pPr>
            <w:r>
              <w:rPr>
                <w:rFonts w:ascii="Times New Roman" w:hAnsi="Times New Roman"/>
                <w:sz w:val="17"/>
              </w:rPr>
              <w:t>Akünal, Bujotzek, Denner, Hamm, Kades, Schader, Scherer, Nolden, Neher, Floca &amp; Maier-Hein (2025). Kaapana. arXiv:2512.09644</w:t>
            </w:r>
          </w:p>
        </w:tc>
        <w:tc>
          <w:tcPr>
            <w:tcW w:type="dxa" w:w="1560"/>
            <w:vAlign w:val="top"/>
          </w:tcPr>
          <w:p>
            <w:pPr>
              <w:keepNext w:val="0"/>
              <w:spacing w:line="240" w:lineRule="auto" w:after="0" w:before="0"/>
            </w:pPr>
            <w:r>
              <w:rPr>
                <w:rFonts w:ascii="Times New Roman" w:hAnsi="Times New Roman"/>
                <w:sz w:val="17"/>
              </w:rPr>
              <w:t>Open platform for AI in medical imaging research</w:t>
            </w:r>
          </w:p>
        </w:tc>
        <w:tc>
          <w:tcPr>
            <w:tcW w:type="dxa" w:w="1560"/>
            <w:vAlign w:val="top"/>
          </w:tcPr>
          <w:p>
            <w:pPr>
              <w:keepNext w:val="0"/>
              <w:spacing w:line="240" w:lineRule="auto" w:after="0" w:before="0"/>
            </w:pPr>
            <w:r>
              <w:rPr>
                <w:rFonts w:ascii="Times New Roman" w:hAnsi="Times New Roman"/>
                <w:sz w:val="17"/>
              </w:rPr>
              <w:t>Kubernetes/Helm, Airflow, MinIO (S3), OpenSearch DICOM index, Keycloak, PACS, nnU-Net</w:t>
            </w:r>
          </w:p>
        </w:tc>
        <w:tc>
          <w:tcPr>
            <w:tcW w:type="dxa" w:w="1560"/>
            <w:vAlign w:val="top"/>
          </w:tcPr>
          <w:p>
            <w:pPr>
              <w:keepNext w:val="0"/>
              <w:spacing w:line="240" w:lineRule="auto" w:after="0" w:before="0"/>
            </w:pPr>
            <w:r>
              <w:rPr>
                <w:rFonts w:ascii="Times New Roman" w:hAnsi="Times New Roman"/>
                <w:sz w:val="17"/>
              </w:rPr>
              <w:t>Deployment evidence: RACOON, CCE-DART, DKTK, NeuroRad</w:t>
            </w:r>
          </w:p>
        </w:tc>
        <w:tc>
          <w:tcPr>
            <w:tcW w:type="dxa" w:w="1560"/>
            <w:vAlign w:val="top"/>
          </w:tcPr>
          <w:p>
            <w:pPr>
              <w:keepNext w:val="0"/>
              <w:spacing w:line="240" w:lineRule="auto" w:after="0" w:before="0"/>
            </w:pPr>
            <w:r>
              <w:rPr>
                <w:rFonts w:ascii="Times New Roman" w:hAnsi="Times New Roman"/>
                <w:sz w:val="17"/>
              </w:rPr>
              <w:t>Working hospital-grade platform with S3-compatible storage and DICOM index, but flat storage with no tiering or cost awareness</w:t>
            </w:r>
          </w:p>
        </w:tc>
      </w:tr>
      <w:tr>
        <w:trPr>
          <w:cantSplit w:val="true"/>
        </w:trPr>
        <w:tc>
          <w:tcPr>
            <w:tcW w:type="dxa" w:w="1560"/>
            <w:vAlign w:val="top"/>
          </w:tcPr>
          <w:p>
            <w:pPr>
              <w:keepNext w:val="0"/>
              <w:spacing w:line="240" w:lineRule="auto" w:after="0" w:before="0"/>
            </w:pPr>
            <w:r>
              <w:rPr>
                <w:rFonts w:ascii="Times New Roman" w:hAnsi="Times New Roman"/>
                <w:sz w:val="17"/>
              </w:rPr>
              <w:t>P10</w:t>
            </w:r>
          </w:p>
        </w:tc>
        <w:tc>
          <w:tcPr>
            <w:tcW w:type="dxa" w:w="1560"/>
            <w:vAlign w:val="top"/>
          </w:tcPr>
          <w:p>
            <w:pPr>
              <w:keepNext w:val="0"/>
              <w:spacing w:line="240" w:lineRule="auto" w:after="0" w:before="0"/>
            </w:pPr>
            <w:r>
              <w:rPr>
                <w:rFonts w:ascii="Times New Roman" w:hAnsi="Times New Roman"/>
                <w:sz w:val="17"/>
              </w:rPr>
              <w:t>Deng, Tang, Huang et al. (2026). Project Imaging-X. arXiv:2603.27460</w:t>
            </w:r>
          </w:p>
        </w:tc>
        <w:tc>
          <w:tcPr>
            <w:tcW w:type="dxa" w:w="1560"/>
            <w:vAlign w:val="top"/>
          </w:tcPr>
          <w:p>
            <w:pPr>
              <w:keepNext w:val="0"/>
              <w:spacing w:line="240" w:lineRule="auto" w:after="0" w:before="0"/>
            </w:pPr>
            <w:r>
              <w:rPr>
                <w:rFonts w:ascii="Times New Roman" w:hAnsi="Times New Roman"/>
                <w:sz w:val="17"/>
              </w:rPr>
              <w:t>Catalogue open medical imaging datasets</w:t>
            </w:r>
          </w:p>
        </w:tc>
        <w:tc>
          <w:tcPr>
            <w:tcW w:type="dxa" w:w="1560"/>
            <w:vAlign w:val="top"/>
          </w:tcPr>
          <w:p>
            <w:pPr>
              <w:keepNext w:val="0"/>
              <w:spacing w:line="240" w:lineRule="auto" w:after="0" w:before="0"/>
            </w:pPr>
            <w:r>
              <w:rPr>
                <w:rFonts w:ascii="Times New Roman" w:hAnsi="Times New Roman"/>
                <w:sz w:val="17"/>
              </w:rPr>
              <w:t>Survey of 1,000+ datasets by modality, task, region, annotation; metadata-driven fusion</w:t>
            </w:r>
          </w:p>
        </w:tc>
        <w:tc>
          <w:tcPr>
            <w:tcW w:type="dxa" w:w="1560"/>
            <w:vAlign w:val="top"/>
          </w:tcPr>
          <w:p>
            <w:pPr>
              <w:keepNext w:val="0"/>
              <w:spacing w:line="240" w:lineRule="auto" w:after="0" w:before="0"/>
            </w:pPr>
            <w:r>
              <w:rPr>
                <w:rFonts w:ascii="Times New Roman" w:hAnsi="Times New Roman"/>
                <w:sz w:val="17"/>
              </w:rPr>
              <w:t>The catalogue itself; public portal and table</w:t>
            </w:r>
          </w:p>
        </w:tc>
        <w:tc>
          <w:tcPr>
            <w:tcW w:type="dxa" w:w="1560"/>
            <w:vAlign w:val="top"/>
          </w:tcPr>
          <w:p>
            <w:pPr>
              <w:keepNext w:val="0"/>
              <w:spacing w:line="240" w:lineRule="auto" w:after="0" w:before="0"/>
            </w:pPr>
            <w:r>
              <w:rPr>
                <w:rFonts w:ascii="Times New Roman" w:hAnsi="Times New Roman"/>
                <w:sz w:val="17"/>
              </w:rPr>
              <w:t>No public dataset records who retrieved which scan when; the retrieval label must be derived</w:t>
            </w:r>
          </w:p>
        </w:tc>
      </w:tr>
      <w:tr>
        <w:trPr>
          <w:cantSplit w:val="true"/>
        </w:trPr>
        <w:tc>
          <w:tcPr>
            <w:tcW w:type="dxa" w:w="1560"/>
            <w:vAlign w:val="top"/>
          </w:tcPr>
          <w:p>
            <w:pPr>
              <w:keepNext w:val="0"/>
              <w:spacing w:line="240" w:lineRule="auto" w:after="0" w:before="0"/>
            </w:pPr>
            <w:r>
              <w:rPr>
                <w:rFonts w:ascii="Times New Roman" w:hAnsi="Times New Roman"/>
                <w:sz w:val="17"/>
              </w:rPr>
              <w:t>P11</w:t>
            </w:r>
          </w:p>
        </w:tc>
        <w:tc>
          <w:tcPr>
            <w:tcW w:type="dxa" w:w="1560"/>
            <w:vAlign w:val="top"/>
          </w:tcPr>
          <w:p>
            <w:pPr>
              <w:keepNext w:val="0"/>
              <w:spacing w:line="240" w:lineRule="auto" w:after="0" w:before="0"/>
            </w:pPr>
            <w:r>
              <w:rPr>
                <w:rFonts w:ascii="Times New Roman" w:hAnsi="Times New Roman"/>
                <w:sz w:val="17"/>
              </w:rPr>
              <w:t>Mondal, Mukhopadhyay &amp; Chattopadhyay (2022). Complex &amp; Intelligent Systems, 8, 489–505. doi:10.1007/s40747-021-00517-4</w:t>
            </w:r>
          </w:p>
        </w:tc>
        <w:tc>
          <w:tcPr>
            <w:tcW w:type="dxa" w:w="1560"/>
            <w:vAlign w:val="top"/>
          </w:tcPr>
          <w:p>
            <w:pPr>
              <w:keepNext w:val="0"/>
              <w:spacing w:line="240" w:lineRule="auto" w:after="0" w:before="0"/>
            </w:pPr>
            <w:r>
              <w:rPr>
                <w:rFonts w:ascii="Times New Roman" w:hAnsi="Times New Roman"/>
                <w:sz w:val="17"/>
              </w:rPr>
              <w:t>Automatic storage-space recommendation for object storage</w:t>
            </w:r>
          </w:p>
        </w:tc>
        <w:tc>
          <w:tcPr>
            <w:tcW w:type="dxa" w:w="1560"/>
            <w:vAlign w:val="top"/>
          </w:tcPr>
          <w:p>
            <w:pPr>
              <w:keepNext w:val="0"/>
              <w:spacing w:line="240" w:lineRule="auto" w:after="0" w:before="0"/>
            </w:pPr>
            <w:r>
              <w:rPr>
                <w:rFonts w:ascii="Times New Roman" w:hAnsi="Times New Roman"/>
                <w:sz w:val="17"/>
              </w:rPr>
              <w:t>Ganglia records 18 server metrics; Fisher/F-score/Lll21 selection + SVM/K-NN/NN → Cassandra, MongoDB or HDFS</w:t>
            </w:r>
          </w:p>
        </w:tc>
        <w:tc>
          <w:tcPr>
            <w:tcW w:type="dxa" w:w="1560"/>
            <w:vAlign w:val="top"/>
          </w:tcPr>
          <w:p>
            <w:pPr>
              <w:keepNext w:val="0"/>
              <w:spacing w:line="240" w:lineRule="auto" w:after="0" w:before="0"/>
            </w:pPr>
            <w:r>
              <w:rPr>
                <w:rFonts w:ascii="Times New Roman" w:hAnsi="Times New Roman"/>
                <w:sz w:val="17"/>
              </w:rPr>
              <w:t>Self-generated health workload (sensor streams, documents, files), 1:1:1 classes</w:t>
            </w:r>
          </w:p>
        </w:tc>
        <w:tc>
          <w:tcPr>
            <w:tcW w:type="dxa" w:w="1560"/>
            <w:vAlign w:val="top"/>
          </w:tcPr>
          <w:p>
            <w:pPr>
              <w:keepNext w:val="0"/>
              <w:spacing w:line="240" w:lineRule="auto" w:after="0" w:before="0"/>
            </w:pPr>
            <w:r>
              <w:rPr>
                <w:rFonts w:ascii="Times New Roman" w:hAnsi="Times New Roman"/>
                <w:sz w:val="17"/>
              </w:rPr>
              <w:t>Lll21 + K-NN best; decides from server readings, never file content; offline; no cost model</w:t>
            </w:r>
          </w:p>
        </w:tc>
      </w:tr>
      <w:tr>
        <w:trPr>
          <w:cantSplit w:val="true"/>
        </w:trPr>
        <w:tc>
          <w:tcPr>
            <w:tcW w:type="dxa" w:w="1560"/>
            <w:vAlign w:val="top"/>
          </w:tcPr>
          <w:p>
            <w:pPr>
              <w:keepNext w:val="0"/>
              <w:spacing w:line="240" w:lineRule="auto" w:after="0" w:before="0"/>
            </w:pPr>
            <w:r>
              <w:rPr>
                <w:rFonts w:ascii="Times New Roman" w:hAnsi="Times New Roman"/>
                <w:sz w:val="17"/>
              </w:rPr>
              <w:t>P12</w:t>
            </w:r>
          </w:p>
        </w:tc>
        <w:tc>
          <w:tcPr>
            <w:tcW w:type="dxa" w:w="1560"/>
            <w:vAlign w:val="top"/>
          </w:tcPr>
          <w:p>
            <w:pPr>
              <w:keepNext w:val="0"/>
              <w:spacing w:line="240" w:lineRule="auto" w:after="0" w:before="0"/>
            </w:pPr>
            <w:r>
              <w:rPr>
                <w:rFonts w:ascii="Times New Roman" w:hAnsi="Times New Roman"/>
                <w:sz w:val="17"/>
              </w:rPr>
              <w:t>Amaithi Rajan, Vetriselvi, Ajitesh &amp; Praveen Kumar (2025). Scientific Reports, 15, 32965. doi:10.1038/s41598-025-16903-8</w:t>
            </w:r>
          </w:p>
        </w:tc>
        <w:tc>
          <w:tcPr>
            <w:tcW w:type="dxa" w:w="1560"/>
            <w:vAlign w:val="top"/>
          </w:tcPr>
          <w:p>
            <w:pPr>
              <w:keepNext w:val="0"/>
              <w:spacing w:line="240" w:lineRule="auto" w:after="0" w:before="0"/>
            </w:pPr>
            <w:r>
              <w:rPr>
                <w:rFonts w:ascii="Times New Roman" w:hAnsi="Times New Roman"/>
                <w:sz w:val="17"/>
              </w:rPr>
              <w:t>Secure, fault-tolerant medical image storage and retrieval</w:t>
            </w:r>
          </w:p>
        </w:tc>
        <w:tc>
          <w:tcPr>
            <w:tcW w:type="dxa" w:w="1560"/>
            <w:vAlign w:val="top"/>
          </w:tcPr>
          <w:p>
            <w:pPr>
              <w:keepNext w:val="0"/>
              <w:spacing w:line="240" w:lineRule="auto" w:after="0" w:before="0"/>
            </w:pPr>
            <w:r>
              <w:rPr>
                <w:rFonts w:ascii="Times New Roman" w:hAnsi="Times New Roman"/>
                <w:sz w:val="17"/>
              </w:rPr>
              <w:t>SFMedIR: federated ConvNeXt hashing, quantum-chaos encryption, master/slave shadow storage; Docker on EC2</w:t>
            </w:r>
          </w:p>
        </w:tc>
        <w:tc>
          <w:tcPr>
            <w:tcW w:type="dxa" w:w="1560"/>
            <w:vAlign w:val="top"/>
          </w:tcPr>
          <w:p>
            <w:pPr>
              <w:keepNext w:val="0"/>
              <w:spacing w:line="240" w:lineRule="auto" w:after="0" w:before="0"/>
            </w:pPr>
            <w:r>
              <w:rPr>
                <w:rFonts w:ascii="Times New Roman" w:hAnsi="Times New Roman"/>
                <w:sz w:val="17"/>
              </w:rPr>
              <w:t>Alzheimer MRI, Brain Tumour MRI (7,023), Kidney CT; PGD attacks</w:t>
            </w:r>
          </w:p>
        </w:tc>
        <w:tc>
          <w:tcPr>
            <w:tcW w:type="dxa" w:w="1560"/>
            <w:vAlign w:val="top"/>
          </w:tcPr>
          <w:p>
            <w:pPr>
              <w:keepNext w:val="0"/>
              <w:spacing w:line="240" w:lineRule="auto" w:after="0" w:before="0"/>
            </w:pPr>
            <w:r>
              <w:rPr>
                <w:rFonts w:ascii="Times New Roman" w:hAnsi="Times New Roman"/>
                <w:sz w:val="17"/>
              </w:rPr>
              <w:t>~90% retrieval accuracy, robust under attack; every image stored the same, cost never measured</w:t>
            </w:r>
          </w:p>
        </w:tc>
      </w:tr>
      <w:tr>
        <w:trPr>
          <w:cantSplit w:val="true"/>
        </w:trPr>
        <w:tc>
          <w:tcPr>
            <w:tcW w:type="dxa" w:w="1560"/>
            <w:vAlign w:val="top"/>
          </w:tcPr>
          <w:p>
            <w:pPr>
              <w:keepNext w:val="0"/>
              <w:spacing w:line="240" w:lineRule="auto" w:after="0" w:before="0"/>
            </w:pPr>
            <w:r>
              <w:rPr>
                <w:rFonts w:ascii="Times New Roman" w:hAnsi="Times New Roman"/>
                <w:sz w:val="17"/>
              </w:rPr>
              <w:t>P13</w:t>
            </w:r>
          </w:p>
        </w:tc>
        <w:tc>
          <w:tcPr>
            <w:tcW w:type="dxa" w:w="1560"/>
            <w:vAlign w:val="top"/>
          </w:tcPr>
          <w:p>
            <w:pPr>
              <w:keepNext w:val="0"/>
              <w:spacing w:line="240" w:lineRule="auto" w:after="0" w:before="0"/>
            </w:pPr>
            <w:r>
              <w:rPr>
                <w:rFonts w:ascii="Times New Roman" w:hAnsi="Times New Roman"/>
                <w:sz w:val="17"/>
              </w:rPr>
              <w:t>Lemaréchal, Couture, Pelletier, … Ingrisch &amp; Després (2025). J. Imaging Informatics in Medicine, 39(2), 1783–1795. doi:10.1007/s10278-025-01554-y</w:t>
            </w:r>
          </w:p>
        </w:tc>
        <w:tc>
          <w:tcPr>
            <w:tcW w:type="dxa" w:w="1560"/>
            <w:vAlign w:val="top"/>
          </w:tcPr>
          <w:p>
            <w:pPr>
              <w:keepNext w:val="0"/>
              <w:spacing w:line="240" w:lineRule="auto" w:after="0" w:before="0"/>
            </w:pPr>
            <w:r>
              <w:rPr>
                <w:rFonts w:ascii="Times New Roman" w:hAnsi="Times New Roman"/>
                <w:sz w:val="17"/>
              </w:rPr>
              <w:t>Research platform for medical imaging data science</w:t>
            </w:r>
          </w:p>
        </w:tc>
        <w:tc>
          <w:tcPr>
            <w:tcW w:type="dxa" w:w="1560"/>
            <w:vAlign w:val="top"/>
          </w:tcPr>
          <w:p>
            <w:pPr>
              <w:keepNext w:val="0"/>
              <w:spacing w:line="240" w:lineRule="auto" w:after="0" w:before="0"/>
            </w:pPr>
            <w:r>
              <w:rPr>
                <w:rFonts w:ascii="Times New Roman" w:hAnsi="Times New Roman"/>
                <w:sz w:val="17"/>
              </w:rPr>
              <w:t>PARADIM: Karnak, Kheops, Orthanc, Keycloak + MFA, OHIF, Kubernetes job manager</w:t>
            </w:r>
          </w:p>
        </w:tc>
        <w:tc>
          <w:tcPr>
            <w:tcW w:type="dxa" w:w="1560"/>
            <w:vAlign w:val="top"/>
          </w:tcPr>
          <w:p>
            <w:pPr>
              <w:keepNext w:val="0"/>
              <w:spacing w:line="240" w:lineRule="auto" w:after="0" w:before="0"/>
            </w:pPr>
            <w:r>
              <w:rPr>
                <w:rFonts w:ascii="Times New Roman" w:hAnsi="Times New Roman"/>
                <w:sz w:val="17"/>
              </w:rPr>
              <w:t>Real institutional CT, MRI, RT collections; ~10 ethics-approved projects</w:t>
            </w:r>
          </w:p>
        </w:tc>
        <w:tc>
          <w:tcPr>
            <w:tcW w:type="dxa" w:w="1560"/>
            <w:vAlign w:val="top"/>
          </w:tcPr>
          <w:p>
            <w:pPr>
              <w:keepNext w:val="0"/>
              <w:spacing w:line="240" w:lineRule="auto" w:after="0" w:before="0"/>
            </w:pPr>
            <w:r>
              <w:rPr>
                <w:rFonts w:ascii="Times New Roman" w:hAnsi="Times New Roman"/>
                <w:sz w:val="17"/>
              </w:rPr>
              <w:t>Complete DICOM pipeline with audit, but single storage class, no archiving, no cost figures</w:t>
            </w:r>
          </w:p>
        </w:tc>
      </w:tr>
      <w:tr>
        <w:trPr>
          <w:cantSplit w:val="true"/>
        </w:trPr>
        <w:tc>
          <w:tcPr>
            <w:tcW w:type="dxa" w:w="1560"/>
            <w:vAlign w:val="top"/>
          </w:tcPr>
          <w:p>
            <w:pPr>
              <w:keepNext w:val="0"/>
              <w:spacing w:line="240" w:lineRule="auto" w:after="0" w:before="0"/>
            </w:pPr>
            <w:r>
              <w:rPr>
                <w:rFonts w:ascii="Times New Roman" w:hAnsi="Times New Roman"/>
                <w:sz w:val="17"/>
              </w:rPr>
              <w:t>P14</w:t>
            </w:r>
          </w:p>
        </w:tc>
        <w:tc>
          <w:tcPr>
            <w:tcW w:type="dxa" w:w="1560"/>
            <w:vAlign w:val="top"/>
          </w:tcPr>
          <w:p>
            <w:pPr>
              <w:keepNext w:val="0"/>
              <w:spacing w:line="240" w:lineRule="auto" w:after="0" w:before="0"/>
            </w:pPr>
            <w:r>
              <w:rPr>
                <w:rFonts w:ascii="Times New Roman" w:hAnsi="Times New Roman"/>
                <w:sz w:val="17"/>
              </w:rPr>
              <w:t>Vahdati, Khosravi, Mahmoudi, … Gichoya &amp; Erickson (2024). J. Imaging Informatics in Medicine, 37(5), 2015–2024. doi:10.1007/s10278-024-01083-0</w:t>
            </w:r>
          </w:p>
        </w:tc>
        <w:tc>
          <w:tcPr>
            <w:tcW w:type="dxa" w:w="1560"/>
            <w:vAlign w:val="top"/>
          </w:tcPr>
          <w:p>
            <w:pPr>
              <w:keepNext w:val="0"/>
              <w:spacing w:line="240" w:lineRule="auto" w:after="0" w:before="0"/>
            </w:pPr>
            <w:r>
              <w:rPr>
                <w:rFonts w:ascii="Times New Roman" w:hAnsi="Times New Roman"/>
                <w:sz w:val="17"/>
              </w:rPr>
              <w:t>Open-source tools to make imaging data AI-ready</w:t>
            </w:r>
          </w:p>
        </w:tc>
        <w:tc>
          <w:tcPr>
            <w:tcW w:type="dxa" w:w="1560"/>
            <w:vAlign w:val="top"/>
          </w:tcPr>
          <w:p>
            <w:pPr>
              <w:keepNext w:val="0"/>
              <w:spacing w:line="240" w:lineRule="auto" w:after="0" w:before="0"/>
            </w:pPr>
            <w:r>
              <w:rPr>
                <w:rFonts w:ascii="Times New Roman" w:hAnsi="Times New Roman"/>
                <w:sz w:val="17"/>
              </w:rPr>
              <w:t>SIIM survey: 54 responses from 26 centres → 28 tools grouped by preparation stage</w:t>
            </w:r>
          </w:p>
        </w:tc>
        <w:tc>
          <w:tcPr>
            <w:tcW w:type="dxa" w:w="1560"/>
            <w:vAlign w:val="top"/>
          </w:tcPr>
          <w:p>
            <w:pPr>
              <w:keepNext w:val="0"/>
              <w:spacing w:line="240" w:lineRule="auto" w:after="0" w:before="0"/>
            </w:pPr>
            <w:r>
              <w:rPr>
                <w:rFonts w:ascii="Times New Roman" w:hAnsi="Times New Roman"/>
                <w:sz w:val="17"/>
              </w:rPr>
              <w:t>Survey responses; no images analysed</w:t>
            </w:r>
          </w:p>
        </w:tc>
        <w:tc>
          <w:tcPr>
            <w:tcW w:type="dxa" w:w="1560"/>
            <w:vAlign w:val="top"/>
          </w:tcPr>
          <w:p>
            <w:pPr>
              <w:keepNext w:val="0"/>
              <w:spacing w:line="240" w:lineRule="auto" w:after="0" w:before="0"/>
            </w:pPr>
            <w:r>
              <w:rPr>
                <w:rFonts w:ascii="Times New Roman" w:hAnsi="Times New Roman"/>
                <w:sz w:val="17"/>
              </w:rPr>
              <w:t>Useful tool map (de-identification, conversion, labelling); storage only a tick-box; no cost or tiering</w:t>
            </w:r>
          </w:p>
        </w:tc>
      </w:tr>
      <w:tr>
        <w:trPr>
          <w:cantSplit w:val="true"/>
        </w:trPr>
        <w:tc>
          <w:tcPr>
            <w:tcW w:type="dxa" w:w="1560"/>
            <w:vAlign w:val="top"/>
          </w:tcPr>
          <w:p>
            <w:pPr>
              <w:keepNext w:val="0"/>
              <w:spacing w:line="240" w:lineRule="auto" w:after="0" w:before="0"/>
            </w:pPr>
            <w:r>
              <w:rPr>
                <w:rFonts w:ascii="Times New Roman" w:hAnsi="Times New Roman"/>
                <w:sz w:val="17"/>
              </w:rPr>
              <w:t>P15</w:t>
            </w:r>
          </w:p>
        </w:tc>
        <w:tc>
          <w:tcPr>
            <w:tcW w:type="dxa" w:w="1560"/>
            <w:vAlign w:val="top"/>
          </w:tcPr>
          <w:p>
            <w:pPr>
              <w:keepNext w:val="0"/>
              <w:spacing w:line="240" w:lineRule="auto" w:after="0" w:before="0"/>
            </w:pPr>
            <w:r>
              <w:rPr>
                <w:rFonts w:ascii="Times New Roman" w:hAnsi="Times New Roman"/>
                <w:sz w:val="17"/>
              </w:rPr>
              <w:t>Hai, Zhou, Srividhya, Jain, Young &amp; Agrawal (2022). Journal of Cloud Computing, 11, 22. doi:10.1186/s13677-022-00294-6</w:t>
            </w:r>
          </w:p>
        </w:tc>
        <w:tc>
          <w:tcPr>
            <w:tcW w:type="dxa" w:w="1560"/>
            <w:vAlign w:val="top"/>
          </w:tcPr>
          <w:p>
            <w:pPr>
              <w:keepNext w:val="0"/>
              <w:spacing w:line="240" w:lineRule="auto" w:after="0" w:before="0"/>
            </w:pPr>
            <w:r>
              <w:rPr>
                <w:rFonts w:ascii="Times New Roman" w:hAnsi="Times New Roman"/>
                <w:sz w:val="17"/>
              </w:rPr>
              <w:t>Cloud medical-record recommendation with privacy</w:t>
            </w:r>
          </w:p>
        </w:tc>
        <w:tc>
          <w:tcPr>
            <w:tcW w:type="dxa" w:w="1560"/>
            <w:vAlign w:val="top"/>
          </w:tcPr>
          <w:p>
            <w:pPr>
              <w:keepNext w:val="0"/>
              <w:spacing w:line="240" w:lineRule="auto" w:after="0" w:before="0"/>
            </w:pPr>
            <w:r>
              <w:rPr>
                <w:rFonts w:ascii="Times New Roman" w:hAnsi="Times New Roman"/>
                <w:sz w:val="17"/>
              </w:rPr>
              <w:t>BVFLEMR: Hyperledger Fabric blockchain + vertical federated learning + LightGBM, N-gram and sentiment</w:t>
            </w:r>
          </w:p>
        </w:tc>
        <w:tc>
          <w:tcPr>
            <w:tcW w:type="dxa" w:w="1560"/>
            <w:vAlign w:val="top"/>
          </w:tcPr>
          <w:p>
            <w:pPr>
              <w:keepNext w:val="0"/>
              <w:spacing w:line="240" w:lineRule="auto" w:after="0" w:before="0"/>
            </w:pPr>
            <w:r>
              <w:rPr>
                <w:rFonts w:ascii="Times New Roman" w:hAnsi="Times New Roman"/>
                <w:sz w:val="17"/>
              </w:rPr>
              <w:t>Unnamed EHR dataset fed at 20–100%</w:t>
            </w:r>
          </w:p>
        </w:tc>
        <w:tc>
          <w:tcPr>
            <w:tcW w:type="dxa" w:w="1560"/>
            <w:vAlign w:val="top"/>
          </w:tcPr>
          <w:p>
            <w:pPr>
              <w:keepNext w:val="0"/>
              <w:spacing w:line="240" w:lineRule="auto" w:after="0" w:before="0"/>
            </w:pPr>
            <w:r>
              <w:rPr>
                <w:rFonts w:ascii="Times New Roman" w:hAnsi="Times New Roman"/>
                <w:sz w:val="17"/>
              </w:rPr>
              <w:t>Precision 0.953, recall 0.932, F1 0.950; text only; all records stored permanently at one cost</w:t>
            </w:r>
          </w:p>
        </w:tc>
      </w:tr>
    </w:tbl>
    <w:p/>
    <w:p>
      <w:pPr>
        <w:pStyle w:val="Heading2"/>
      </w:pPr>
      <w:r>
        <w:rPr>
          <w:color w:val="000000"/>
        </w:rPr>
        <w:t>2 1 Synthesis and Comparison</w:t>
      </w:r>
    </w:p>
    <w:p>
      <w:pPr>
        <w:jc w:val="both"/>
      </w:pPr>
      <w:r>
        <w:rPr>
          <w:rFonts w:ascii="Times New Roman" w:hAnsi="Times New Roman"/>
          <w:b w:val="0"/>
        </w:rPr>
        <w:t>The original review groups related work into storage placement, medical image analysis and imaging platforms. Storage studies discuss access behavior, placement mechanisms or cost, while imaging work covers analysis, compression, retrieval or data preparation. These findings motivate the project but do not validate its current MRI adapter or cost outcomes. Table 2 retains the original paper comparison and updates the project row for the implemented v2 scope.</w:t>
      </w:r>
    </w:p>
    <w:p>
      <w:pPr>
        <w:jc w:val="both"/>
      </w:pPr>
      <w:r>
        <w:rPr>
          <w:rFonts w:ascii="Times New Roman" w:hAnsi="Times New Roman"/>
          <w:b w:val="0"/>
        </w:rPr>
        <w:t>For the current version, the practical connection is a shared archive workspace rather than a learned clinical retrieval predictor. Segmentation outputs are available for inspection; access requirements and completeness determine storage eligibility. A comparison against S3 Intelligent-Tiering, or an ablation showing value from image-derived signals, has not been implemented or evaluated.</w:t>
      </w:r>
    </w:p>
    <w:p>
      <w:pPr>
        <w:keepNext/>
        <w:spacing w:after="80"/>
      </w:pPr>
      <w:r>
        <w:rPr>
          <w:rFonts w:ascii="Times New Roman" w:hAnsi="Times New Roman"/>
          <w:b/>
          <w:sz w:val="21"/>
        </w:rPr>
        <w:t>Table 2. Comparison of the reviewed work against the properties required by this project (Yes / Part / No).</w:t>
      </w:r>
    </w:p>
    <w:tbl>
      <w:tblPr>
        <w:tblStyle w:val="TableGrid"/>
        <w:tblW w:type="dxa" w:w="890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1000"/>
        <w:gridCol w:w="1250"/>
        <w:gridCol w:w="1050"/>
        <w:gridCol w:w="1250"/>
        <w:gridCol w:w="1050"/>
        <w:gridCol w:w="1250"/>
        <w:gridCol w:w="1150"/>
      </w:tblGrid>
      <w:tr>
        <w:trPr>
          <w:tblHeader w:val="true"/>
        </w:trPr>
        <w:tc>
          <w:tcPr>
            <w:tcW w:type="dxa" w:w="900"/>
            <w:shd w:val="clear" w:color="auto" w:fill="D9EAF7"/>
            <w:vAlign w:val="center"/>
          </w:tcPr>
          <w:p>
            <w:pPr>
              <w:keepNext/>
              <w:spacing w:line="240" w:lineRule="auto" w:after="0" w:before="0"/>
            </w:pPr>
            <w:r>
              <w:rPr>
                <w:rFonts w:ascii="Times New Roman" w:hAnsi="Times New Roman"/>
                <w:b/>
                <w:sz w:val="17"/>
              </w:rPr>
              <w:t>Paper</w:t>
            </w:r>
          </w:p>
        </w:tc>
        <w:tc>
          <w:tcPr>
            <w:tcW w:type="dxa" w:w="1000"/>
            <w:shd w:val="clear" w:color="auto" w:fill="D9EAF7"/>
            <w:vAlign w:val="center"/>
          </w:tcPr>
          <w:p>
            <w:pPr>
              <w:keepNext/>
              <w:spacing w:line="240" w:lineRule="auto" w:after="0" w:before="0"/>
            </w:pPr>
            <w:r>
              <w:rPr>
                <w:rFonts w:ascii="Times New Roman" w:hAnsi="Times New Roman"/>
                <w:b/>
                <w:sz w:val="17"/>
              </w:rPr>
              <w:t>Medical data</w:t>
            </w:r>
          </w:p>
        </w:tc>
        <w:tc>
          <w:tcPr>
            <w:tcW w:type="dxa" w:w="1250"/>
            <w:shd w:val="clear" w:color="auto" w:fill="D9EAF7"/>
            <w:vAlign w:val="center"/>
          </w:tcPr>
          <w:p>
            <w:pPr>
              <w:keepNext/>
              <w:spacing w:line="240" w:lineRule="auto" w:after="0" w:before="0"/>
            </w:pPr>
            <w:r>
              <w:rPr>
                <w:rFonts w:ascii="Times New Roman" w:hAnsi="Times New Roman"/>
                <w:b/>
                <w:sz w:val="17"/>
              </w:rPr>
              <w:t>Uses image content</w:t>
            </w:r>
          </w:p>
        </w:tc>
        <w:tc>
          <w:tcPr>
            <w:tcW w:type="dxa" w:w="1050"/>
            <w:shd w:val="clear" w:color="auto" w:fill="D9EAF7"/>
            <w:vAlign w:val="center"/>
          </w:tcPr>
          <w:p>
            <w:pPr>
              <w:keepNext/>
              <w:spacing w:line="240" w:lineRule="auto" w:after="0" w:before="0"/>
            </w:pPr>
            <w:r>
              <w:rPr>
                <w:rFonts w:ascii="Times New Roman" w:hAnsi="Times New Roman"/>
                <w:b/>
                <w:sz w:val="17"/>
              </w:rPr>
              <w:t>Uses access history</w:t>
            </w:r>
          </w:p>
        </w:tc>
        <w:tc>
          <w:tcPr>
            <w:tcW w:type="dxa" w:w="1250"/>
            <w:shd w:val="clear" w:color="auto" w:fill="D9EAF7"/>
            <w:vAlign w:val="center"/>
          </w:tcPr>
          <w:p>
            <w:pPr>
              <w:keepNext/>
              <w:spacing w:line="240" w:lineRule="auto" w:after="0" w:before="0"/>
            </w:pPr>
            <w:r>
              <w:rPr>
                <w:rFonts w:ascii="Times New Roman" w:hAnsi="Times New Roman"/>
                <w:b/>
                <w:sz w:val="17"/>
              </w:rPr>
              <w:t>Multiple cloud storage classes</w:t>
            </w:r>
          </w:p>
        </w:tc>
        <w:tc>
          <w:tcPr>
            <w:tcW w:type="dxa" w:w="1050"/>
            <w:shd w:val="clear" w:color="auto" w:fill="D9EAF7"/>
            <w:vAlign w:val="center"/>
          </w:tcPr>
          <w:p>
            <w:pPr>
              <w:keepNext/>
              <w:spacing w:line="240" w:lineRule="auto" w:after="0" w:before="0"/>
            </w:pPr>
            <w:r>
              <w:rPr>
                <w:rFonts w:ascii="Times New Roman" w:hAnsi="Times New Roman"/>
                <w:b/>
                <w:sz w:val="17"/>
              </w:rPr>
              <w:t>Monetary cost model</w:t>
            </w:r>
          </w:p>
        </w:tc>
        <w:tc>
          <w:tcPr>
            <w:tcW w:type="dxa" w:w="1250"/>
            <w:shd w:val="clear" w:color="auto" w:fill="D9EAF7"/>
            <w:vAlign w:val="center"/>
          </w:tcPr>
          <w:p>
            <w:pPr>
              <w:keepNext/>
              <w:spacing w:line="240" w:lineRule="auto" w:after="0" w:before="0"/>
            </w:pPr>
            <w:r>
              <w:rPr>
                <w:rFonts w:ascii="Times New Roman" w:hAnsi="Times New Roman"/>
                <w:b/>
                <w:sz w:val="17"/>
              </w:rPr>
              <w:t>Re-evaluates placement over time</w:t>
            </w:r>
          </w:p>
        </w:tc>
        <w:tc>
          <w:tcPr>
            <w:tcW w:type="dxa" w:w="1150"/>
            <w:shd w:val="clear" w:color="auto" w:fill="D9EAF7"/>
            <w:vAlign w:val="center"/>
          </w:tcPr>
          <w:p>
            <w:pPr>
              <w:keepNext/>
              <w:spacing w:line="240" w:lineRule="auto" w:after="0" w:before="0"/>
            </w:pPr>
            <w:r>
              <w:rPr>
                <w:rFonts w:ascii="Times New Roman" w:hAnsi="Times New Roman"/>
                <w:b/>
                <w:sz w:val="17"/>
              </w:rPr>
              <w:t>Security / compliance</w:t>
            </w:r>
          </w:p>
        </w:tc>
      </w:tr>
      <w:tr>
        <w:trPr>
          <w:cantSplit w:val="true"/>
        </w:trPr>
        <w:tc>
          <w:tcPr>
            <w:tcW w:type="dxa" w:w="900"/>
            <w:vAlign w:val="top"/>
          </w:tcPr>
          <w:p>
            <w:pPr>
              <w:keepNext w:val="0"/>
              <w:spacing w:line="240" w:lineRule="auto" w:after="0" w:before="0"/>
            </w:pPr>
            <w:r>
              <w:rPr>
                <w:rFonts w:ascii="Times New Roman" w:hAnsi="Times New Roman"/>
                <w:sz w:val="17"/>
              </w:rPr>
              <w:t>P1</w:t>
            </w:r>
          </w:p>
        </w:tc>
        <w:tc>
          <w:tcPr>
            <w:tcW w:type="dxa" w:w="100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 (4)</w:t>
            </w:r>
          </w:p>
        </w:tc>
        <w:tc>
          <w:tcPr>
            <w:tcW w:type="dxa" w:w="105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Part</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P2</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 (diagnosis)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Part</w:t>
            </w:r>
          </w:p>
        </w:tc>
        <w:tc>
          <w:tcPr>
            <w:tcW w:type="dxa" w:w="105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sz w:val="17"/>
              </w:rPr>
              <w:t>P3</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P4</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P5</w:t>
            </w:r>
          </w:p>
        </w:tc>
        <w:tc>
          <w:tcPr>
            <w:tcW w:type="dxa" w:w="1000"/>
            <w:vAlign w:val="top"/>
          </w:tcPr>
          <w:p>
            <w:pPr>
              <w:keepNext w:val="0"/>
              <w:spacing w:line="240" w:lineRule="auto" w:after="0" w:before="0"/>
            </w:pPr>
            <w:r>
              <w:rPr>
                <w:rFonts w:ascii="Times New Roman" w:hAnsi="Times New Roman"/>
                <w:sz w:val="17"/>
              </w:rPr>
              <w:t>Yes (EHR)</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Part (3)</w:t>
            </w:r>
          </w:p>
        </w:tc>
        <w:tc>
          <w:tcPr>
            <w:tcW w:type="dxa" w:w="105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sz w:val="17"/>
              </w:rPr>
              <w:t>P6</w:t>
            </w:r>
          </w:p>
        </w:tc>
        <w:tc>
          <w:tcPr>
            <w:tcW w:type="dxa" w:w="100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Part (devices)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Yes</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P7</w:t>
            </w:r>
          </w:p>
        </w:tc>
        <w:tc>
          <w:tcPr>
            <w:tcW w:type="dxa" w:w="100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Part (devices)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P8</w:t>
            </w:r>
          </w:p>
        </w:tc>
        <w:tc>
          <w:tcPr>
            <w:tcW w:type="dxa" w:w="100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No (2-way)</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Yes</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P9</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 (diagnosis)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sz w:val="17"/>
              </w:rPr>
              <w:t>P10</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Part</w:t>
            </w:r>
          </w:p>
        </w:tc>
      </w:tr>
      <w:tr>
        <w:trPr>
          <w:cantSplit w:val="true"/>
        </w:trPr>
        <w:tc>
          <w:tcPr>
            <w:tcW w:type="dxa" w:w="900"/>
            <w:vAlign w:val="top"/>
          </w:tcPr>
          <w:p>
            <w:pPr>
              <w:keepNext w:val="0"/>
              <w:spacing w:line="240" w:lineRule="auto" w:after="0" w:before="0"/>
            </w:pPr>
            <w:r>
              <w:rPr>
                <w:rFonts w:ascii="Times New Roman" w:hAnsi="Times New Roman"/>
                <w:sz w:val="17"/>
              </w:rPr>
              <w:t>P11</w:t>
            </w:r>
          </w:p>
        </w:tc>
        <w:tc>
          <w:tcPr>
            <w:tcW w:type="dxa" w:w="100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Part (DBs)</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No</w:t>
            </w:r>
          </w:p>
        </w:tc>
      </w:tr>
      <w:tr>
        <w:trPr>
          <w:cantSplit w:val="true"/>
        </w:trPr>
        <w:tc>
          <w:tcPr>
            <w:tcW w:type="dxa" w:w="900"/>
            <w:vAlign w:val="top"/>
          </w:tcPr>
          <w:p>
            <w:pPr>
              <w:keepNext w:val="0"/>
              <w:spacing w:line="240" w:lineRule="auto" w:after="0" w:before="0"/>
            </w:pPr>
            <w:r>
              <w:rPr>
                <w:rFonts w:ascii="Times New Roman" w:hAnsi="Times New Roman"/>
                <w:sz w:val="17"/>
              </w:rPr>
              <w:t>P12</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Yes (retrieval)</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sz w:val="17"/>
              </w:rPr>
              <w:t>P13</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Part</w:t>
            </w:r>
          </w:p>
        </w:tc>
        <w:tc>
          <w:tcPr>
            <w:tcW w:type="dxa" w:w="1050"/>
            <w:vAlign w:val="top"/>
          </w:tcPr>
          <w:p>
            <w:pPr>
              <w:keepNext w:val="0"/>
              <w:spacing w:line="240" w:lineRule="auto" w:after="0" w:before="0"/>
            </w:pPr>
            <w:r>
              <w:rPr>
                <w:rFonts w:ascii="Times New Roman" w:hAnsi="Times New Roman"/>
                <w:sz w:val="17"/>
              </w:rPr>
              <w:t>Part</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sz w:val="17"/>
              </w:rPr>
              <w:t>P14</w:t>
            </w:r>
          </w:p>
        </w:tc>
        <w:tc>
          <w:tcPr>
            <w:tcW w:type="dxa" w:w="1000"/>
            <w:vAlign w:val="top"/>
          </w:tcPr>
          <w:p>
            <w:pPr>
              <w:keepNext w:val="0"/>
              <w:spacing w:line="240" w:lineRule="auto" w:after="0" w:before="0"/>
            </w:pPr>
            <w:r>
              <w:rPr>
                <w:rFonts w:ascii="Times New Roman" w:hAnsi="Times New Roman"/>
                <w:sz w:val="17"/>
              </w:rPr>
              <w:t>Yes</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Part</w:t>
            </w:r>
          </w:p>
        </w:tc>
      </w:tr>
      <w:tr>
        <w:trPr>
          <w:cantSplit w:val="true"/>
        </w:trPr>
        <w:tc>
          <w:tcPr>
            <w:tcW w:type="dxa" w:w="900"/>
            <w:vAlign w:val="top"/>
          </w:tcPr>
          <w:p>
            <w:pPr>
              <w:keepNext w:val="0"/>
              <w:spacing w:line="240" w:lineRule="auto" w:after="0" w:before="0"/>
            </w:pPr>
            <w:r>
              <w:rPr>
                <w:rFonts w:ascii="Times New Roman" w:hAnsi="Times New Roman"/>
                <w:sz w:val="17"/>
              </w:rPr>
              <w:t>P15</w:t>
            </w:r>
          </w:p>
        </w:tc>
        <w:tc>
          <w:tcPr>
            <w:tcW w:type="dxa" w:w="1000"/>
            <w:vAlign w:val="top"/>
          </w:tcPr>
          <w:p>
            <w:pPr>
              <w:keepNext w:val="0"/>
              <w:spacing w:line="240" w:lineRule="auto" w:after="0" w:before="0"/>
            </w:pPr>
            <w:r>
              <w:rPr>
                <w:rFonts w:ascii="Times New Roman" w:hAnsi="Times New Roman"/>
                <w:sz w:val="17"/>
              </w:rPr>
              <w:t>Yes (EHR)</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050"/>
            <w:vAlign w:val="top"/>
          </w:tcPr>
          <w:p>
            <w:pPr>
              <w:keepNext w:val="0"/>
              <w:spacing w:line="240" w:lineRule="auto" w:after="0" w:before="0"/>
            </w:pPr>
            <w:r>
              <w:rPr>
                <w:rFonts w:ascii="Times New Roman" w:hAnsi="Times New Roman"/>
                <w:sz w:val="17"/>
              </w:rPr>
              <w:t>No</w:t>
            </w:r>
          </w:p>
        </w:tc>
        <w:tc>
          <w:tcPr>
            <w:tcW w:type="dxa" w:w="1250"/>
            <w:vAlign w:val="top"/>
          </w:tcPr>
          <w:p>
            <w:pPr>
              <w:keepNext w:val="0"/>
              <w:spacing w:line="240" w:lineRule="auto" w:after="0" w:before="0"/>
            </w:pPr>
            <w:r>
              <w:rPr>
                <w:rFonts w:ascii="Times New Roman" w:hAnsi="Times New Roman"/>
                <w:sz w:val="17"/>
              </w:rPr>
              <w:t>No</w:t>
            </w:r>
          </w:p>
        </w:tc>
        <w:tc>
          <w:tcPr>
            <w:tcW w:type="dxa" w:w="1150"/>
            <w:vAlign w:val="top"/>
          </w:tcPr>
          <w:p>
            <w:pPr>
              <w:keepNext w:val="0"/>
              <w:spacing w:line="240" w:lineRule="auto" w:after="0" w:before="0"/>
            </w:pPr>
            <w:r>
              <w:rPr>
                <w:rFonts w:ascii="Times New Roman" w:hAnsi="Times New Roman"/>
                <w:sz w:val="17"/>
              </w:rPr>
              <w:t>Yes</w:t>
            </w:r>
          </w:p>
        </w:tc>
      </w:tr>
      <w:tr>
        <w:trPr>
          <w:cantSplit w:val="true"/>
        </w:trPr>
        <w:tc>
          <w:tcPr>
            <w:tcW w:type="dxa" w:w="900"/>
            <w:vAlign w:val="top"/>
          </w:tcPr>
          <w:p>
            <w:pPr>
              <w:keepNext w:val="0"/>
              <w:spacing w:line="240" w:lineRule="auto" w:after="0" w:before="0"/>
            </w:pPr>
            <w:r>
              <w:rPr>
                <w:rFonts w:ascii="Times New Roman" w:hAnsi="Times New Roman"/>
                <w:b/>
                <w:sz w:val="17"/>
              </w:rPr>
              <w:t>This project v2</w:t>
            </w:r>
          </w:p>
        </w:tc>
        <w:tc>
          <w:tcPr>
            <w:tcW w:type="dxa" w:w="1000"/>
            <w:vAlign w:val="top"/>
          </w:tcPr>
          <w:p>
            <w:pPr>
              <w:keepNext w:val="0"/>
              <w:spacing w:line="240" w:lineRule="auto" w:after="0" w:before="0"/>
            </w:pPr>
            <w:r>
              <w:rPr>
                <w:rFonts w:ascii="Times New Roman" w:hAnsi="Times New Roman"/>
                <w:b/>
                <w:sz w:val="17"/>
              </w:rPr>
              <w:t>Yes research archive</w:t>
            </w:r>
          </w:p>
        </w:tc>
        <w:tc>
          <w:tcPr>
            <w:tcW w:type="dxa" w:w="1250"/>
            <w:vAlign w:val="top"/>
          </w:tcPr>
          <w:p>
            <w:pPr>
              <w:keepNext w:val="0"/>
              <w:spacing w:line="240" w:lineRule="auto" w:after="0" w:before="0"/>
            </w:pPr>
            <w:r>
              <w:rPr>
                <w:rFonts w:ascii="Times New Roman" w:hAnsi="Times New Roman"/>
                <w:b/>
                <w:sz w:val="17"/>
              </w:rPr>
              <w:t>Yes for inspection</w:t>
            </w:r>
          </w:p>
        </w:tc>
        <w:tc>
          <w:tcPr>
            <w:tcW w:type="dxa" w:w="1050"/>
            <w:vAlign w:val="top"/>
          </w:tcPr>
          <w:p>
            <w:pPr>
              <w:keepNext w:val="0"/>
              <w:spacing w:line="240" w:lineRule="auto" w:after="0" w:before="0"/>
            </w:pPr>
            <w:r>
              <w:rPr>
                <w:rFonts w:ascii="Times New Roman" w:hAnsi="Times New Roman"/>
                <w:b/>
                <w:sz w:val="17"/>
              </w:rPr>
              <w:t>Declared workload</w:t>
            </w:r>
          </w:p>
        </w:tc>
        <w:tc>
          <w:tcPr>
            <w:tcW w:type="dxa" w:w="1250"/>
            <w:vAlign w:val="top"/>
          </w:tcPr>
          <w:p>
            <w:pPr>
              <w:keepNext w:val="0"/>
              <w:spacing w:line="240" w:lineRule="auto" w:after="0" w:before="0"/>
            </w:pPr>
            <w:r>
              <w:rPr>
                <w:rFonts w:ascii="Times New Roman" w:hAnsi="Times New Roman"/>
                <w:b/>
                <w:sz w:val="17"/>
              </w:rPr>
              <w:t>Four target S3 classes</w:t>
            </w:r>
          </w:p>
        </w:tc>
        <w:tc>
          <w:tcPr>
            <w:tcW w:type="dxa" w:w="1050"/>
            <w:vAlign w:val="top"/>
          </w:tcPr>
          <w:p>
            <w:pPr>
              <w:keepNext w:val="0"/>
              <w:spacing w:line="240" w:lineRule="auto" w:after="0" w:before="0"/>
            </w:pPr>
            <w:r>
              <w:rPr>
                <w:rFonts w:ascii="Times New Roman" w:hAnsi="Times New Roman"/>
                <w:b/>
                <w:sz w:val="17"/>
              </w:rPr>
              <w:t>Partial explicit fees</w:t>
            </w:r>
          </w:p>
        </w:tc>
        <w:tc>
          <w:tcPr>
            <w:tcW w:type="dxa" w:w="1250"/>
            <w:vAlign w:val="top"/>
          </w:tcPr>
          <w:p>
            <w:pPr>
              <w:keepNext w:val="0"/>
              <w:spacing w:line="240" w:lineRule="auto" w:after="0" w:before="0"/>
            </w:pPr>
            <w:r>
              <w:rPr>
                <w:rFonts w:ascii="Times New Roman" w:hAnsi="Times New Roman"/>
                <w:b/>
                <w:sz w:val="17"/>
              </w:rPr>
              <w:t>Local reviewed actions</w:t>
            </w:r>
          </w:p>
        </w:tc>
        <w:tc>
          <w:tcPr>
            <w:tcW w:type="dxa" w:w="1150"/>
            <w:vAlign w:val="top"/>
          </w:tcPr>
          <w:p>
            <w:pPr>
              <w:keepNext w:val="0"/>
              <w:spacing w:line="240" w:lineRule="auto" w:after="0" w:before="0"/>
            </w:pPr>
            <w:r>
              <w:rPr>
                <w:rFonts w:ascii="Times New Roman" w:hAnsi="Times New Roman"/>
                <w:b/>
                <w:sz w:val="17"/>
              </w:rPr>
              <w:t>Local demo AWS v1 configured</w:t>
            </w:r>
          </w:p>
        </w:tc>
      </w:tr>
    </w:tbl>
    <w:p>
      <w:pPr>
        <w:pStyle w:val="Heading2"/>
      </w:pPr>
      <w:r>
        <w:rPr>
          <w:color w:val="000000"/>
        </w:rPr>
        <w:t>2 2 Individual Research Gap Analysis</w:t>
      </w:r>
    </w:p>
    <w:p>
      <w:r>
        <w:rPr>
          <w:rFonts w:ascii="Times New Roman" w:hAnsi="Times New Roman"/>
          <w:b w:val="0"/>
        </w:rPr>
        <w:t>The original individual analyses cover P1 to P5 for Pratyush Chandrasekhar, P6 to P10 for Subhrojyoti Das, and P11 to P15 for Mehul Anand. Table 3 preserves their research questions and possible improvements as literature-stage proposals. Suggested training, image-based retrieval prediction and compression changes in that table are not claims about implemented v2 behavior.</w:t>
      </w:r>
    </w:p>
    <w:p>
      <w:pPr>
        <w:keepNext/>
        <w:spacing w:after="80"/>
      </w:pPr>
      <w:r>
        <w:rPr>
          <w:rFonts w:ascii="Times New Roman" w:hAnsi="Times New Roman"/>
          <w:b/>
          <w:sz w:val="21"/>
        </w:rPr>
        <w:t>Table 3. Individual research gap analysis (condensed from each member's report).</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1560"/>
        <w:gridCol w:w="1560"/>
        <w:gridCol w:w="1560"/>
        <w:gridCol w:w="1560"/>
        <w:gridCol w:w="1560"/>
      </w:tblGrid>
      <w:tr>
        <w:trPr>
          <w:tblHeader w:val="true"/>
        </w:trPr>
        <w:tc>
          <w:tcPr>
            <w:tcW w:type="dxa" w:w="1560"/>
            <w:vAlign w:val="center"/>
            <w:shd w:fill="D9EAF7"/>
          </w:tcPr>
          <w:p>
            <w:pPr>
              <w:keepNext/>
              <w:spacing w:line="240" w:lineRule="auto"/>
            </w:pPr>
            <w:r/>
            <w:r>
              <w:rPr>
                <w:rFonts w:ascii="Times New Roman" w:hAnsi="Times New Roman"/>
                <w:b/>
                <w:sz w:val="20"/>
              </w:rPr>
              <w:t>Paper ID</w:t>
            </w:r>
          </w:p>
        </w:tc>
        <w:tc>
          <w:tcPr>
            <w:tcW w:type="dxa" w:w="1560"/>
            <w:vAlign w:val="center"/>
            <w:shd w:fill="D9EAF7"/>
          </w:tcPr>
          <w:p>
            <w:pPr>
              <w:keepNext/>
              <w:spacing w:line="240" w:lineRule="auto"/>
            </w:pPr>
            <w:r/>
            <w:r>
              <w:rPr>
                <w:rFonts w:ascii="Times New Roman" w:hAnsi="Times New Roman"/>
                <w:b/>
                <w:sz w:val="20"/>
              </w:rPr>
              <w:t>Existing method</w:t>
            </w:r>
          </w:p>
        </w:tc>
        <w:tc>
          <w:tcPr>
            <w:tcW w:type="dxa" w:w="1560"/>
            <w:vAlign w:val="center"/>
            <w:shd w:fill="D9EAF7"/>
          </w:tcPr>
          <w:p>
            <w:pPr>
              <w:keepNext/>
              <w:spacing w:line="240" w:lineRule="auto"/>
            </w:pPr>
            <w:r/>
            <w:r>
              <w:rPr>
                <w:rFonts w:ascii="Times New Roman" w:hAnsi="Times New Roman"/>
                <w:b/>
                <w:sz w:val="20"/>
              </w:rPr>
              <w:t>Advantages</w:t>
            </w:r>
          </w:p>
        </w:tc>
        <w:tc>
          <w:tcPr>
            <w:tcW w:type="dxa" w:w="1560"/>
            <w:vAlign w:val="center"/>
            <w:shd w:fill="D9EAF7"/>
          </w:tcPr>
          <w:p>
            <w:pPr>
              <w:keepNext/>
              <w:spacing w:line="240" w:lineRule="auto"/>
            </w:pPr>
            <w:r/>
            <w:r>
              <w:rPr>
                <w:rFonts w:ascii="Times New Roman" w:hAnsi="Times New Roman"/>
                <w:b/>
                <w:sz w:val="20"/>
              </w:rPr>
              <w:t>Limitations</w:t>
            </w:r>
          </w:p>
        </w:tc>
        <w:tc>
          <w:tcPr>
            <w:tcW w:type="dxa" w:w="1560"/>
            <w:vAlign w:val="center"/>
            <w:shd w:fill="D9EAF7"/>
          </w:tcPr>
          <w:p>
            <w:pPr>
              <w:keepNext/>
              <w:spacing w:line="240" w:lineRule="auto"/>
            </w:pPr>
            <w:r/>
            <w:r>
              <w:rPr>
                <w:rFonts w:ascii="Times New Roman" w:hAnsi="Times New Roman"/>
                <w:b/>
                <w:sz w:val="20"/>
              </w:rPr>
              <w:t>Research gap identified by student</w:t>
            </w:r>
          </w:p>
        </w:tc>
        <w:tc>
          <w:tcPr>
            <w:tcW w:type="dxa" w:w="1560"/>
            <w:vAlign w:val="center"/>
            <w:shd w:fill="D9EAF7"/>
          </w:tcPr>
          <w:p>
            <w:pPr>
              <w:keepNext/>
              <w:spacing w:line="240" w:lineRule="auto"/>
            </w:pPr>
            <w:r/>
            <w:r>
              <w:rPr>
                <w:rFonts w:ascii="Times New Roman" w:hAnsi="Times New Roman"/>
                <w:b/>
                <w:sz w:val="20"/>
              </w:rPr>
              <w:t>Possible improvement</w:t>
            </w:r>
          </w:p>
        </w:tc>
      </w:tr>
      <w:tr>
        <w:tc>
          <w:tcPr>
            <w:tcW w:type="dxa" w:w="9360"/>
            <w:gridSpan w:val="6"/>
            <w:vAlign w:val="center"/>
            <w:shd w:val="clear" w:color="auto" w:fill="EEF3F8"/>
          </w:tcPr>
          <w:p>
            <w:pPr>
              <w:keepNext w:val="0"/>
              <w:spacing w:line="240" w:lineRule="auto" w:after="0" w:before="0"/>
            </w:pPr>
            <w:r>
              <w:rPr>
                <w:rFonts w:ascii="Times New Roman" w:hAnsi="Times New Roman"/>
                <w:b/>
                <w:sz w:val="17"/>
              </w:rPr>
              <w:t>Student 1 – Pratyush Chandrasekhar (24BIT0226): papers P1–P5</w:t>
            </w:r>
          </w:p>
        </w:tc>
      </w:tr>
      <w:tr>
        <w:trPr>
          <w:cantSplit w:val="true"/>
        </w:trPr>
        <w:tc>
          <w:tcPr>
            <w:tcW w:type="dxa" w:w="1560"/>
            <w:vAlign w:val="top"/>
          </w:tcPr>
          <w:p>
            <w:pPr>
              <w:keepNext w:val="0"/>
              <w:spacing w:line="240" w:lineRule="auto" w:after="0" w:before="0"/>
            </w:pPr>
            <w:r>
              <w:rPr>
                <w:rFonts w:ascii="Times New Roman" w:hAnsi="Times New Roman"/>
                <w:sz w:val="17"/>
              </w:rPr>
              <w:t>P1</w:t>
            </w:r>
          </w:p>
        </w:tc>
        <w:tc>
          <w:tcPr>
            <w:tcW w:type="dxa" w:w="1560"/>
            <w:vAlign w:val="top"/>
          </w:tcPr>
          <w:p>
            <w:pPr>
              <w:keepNext w:val="0"/>
              <w:spacing w:line="240" w:lineRule="auto" w:after="0" w:before="0"/>
            </w:pPr>
            <w:r>
              <w:rPr>
                <w:rFonts w:ascii="Times New Roman" w:hAnsi="Times New Roman"/>
                <w:sz w:val="17"/>
              </w:rPr>
              <w:t>Score from size, age and access frequency; fixed thresholds map to four tiers; game-theory variant</w:t>
            </w:r>
          </w:p>
        </w:tc>
        <w:tc>
          <w:tcPr>
            <w:tcW w:type="dxa" w:w="1560"/>
            <w:vAlign w:val="top"/>
          </w:tcPr>
          <w:p>
            <w:pPr>
              <w:keepNext w:val="0"/>
              <w:spacing w:line="240" w:lineRule="auto" w:after="0" w:before="0"/>
            </w:pPr>
            <w:r>
              <w:rPr>
                <w:rFonts w:ascii="Times New Roman" w:hAnsi="Times New Roman"/>
                <w:sz w:val="17"/>
              </w:rPr>
              <w:t>Four tiers match S3; simple, fast, platform-independent</w:t>
            </w:r>
          </w:p>
        </w:tc>
        <w:tc>
          <w:tcPr>
            <w:tcW w:type="dxa" w:w="1560"/>
            <w:vAlign w:val="top"/>
          </w:tcPr>
          <w:p>
            <w:pPr>
              <w:keepNext w:val="0"/>
              <w:spacing w:line="240" w:lineRule="auto" w:after="0" w:before="0"/>
            </w:pPr>
            <w:r>
              <w:rPr>
                <w:rFonts w:ascii="Times New Roman" w:hAnsi="Times New Roman"/>
                <w:sz w:val="17"/>
              </w:rPr>
              <w:t>Synthetic data; omits transition and early-deletion fees; hand-set thresholds; never opens the file</w:t>
            </w:r>
          </w:p>
        </w:tc>
        <w:tc>
          <w:tcPr>
            <w:tcW w:type="dxa" w:w="1560"/>
            <w:vAlign w:val="top"/>
          </w:tcPr>
          <w:p>
            <w:pPr>
              <w:keepNext w:val="0"/>
              <w:spacing w:line="240" w:lineRule="auto" w:after="0" w:before="0"/>
            </w:pPr>
            <w:r>
              <w:rPr>
                <w:rFonts w:ascii="Times New Roman" w:hAnsi="Times New Roman"/>
                <w:sz w:val="17"/>
              </w:rPr>
              <w:t>Two scans with equal size, age and views are treated identically even if one is clinically important; no legal retention rule</w:t>
            </w:r>
          </w:p>
        </w:tc>
        <w:tc>
          <w:tcPr>
            <w:tcW w:type="dxa" w:w="1560"/>
            <w:vAlign w:val="top"/>
          </w:tcPr>
          <w:p>
            <w:pPr>
              <w:keepNext w:val="0"/>
              <w:spacing w:line="240" w:lineRule="auto" w:after="0" w:before="0"/>
            </w:pPr>
            <w:r>
              <w:rPr>
                <w:rFonts w:ascii="Times New Roman" w:hAnsi="Times New Roman"/>
                <w:sz w:val="17"/>
              </w:rPr>
              <w:t>Add an image-derived input and DICOM details; learn thresholds from re-access history; include S3 transfer charges</w:t>
            </w:r>
          </w:p>
        </w:tc>
      </w:tr>
      <w:tr>
        <w:trPr>
          <w:cantSplit w:val="true"/>
        </w:trPr>
        <w:tc>
          <w:tcPr>
            <w:tcW w:type="dxa" w:w="1560"/>
            <w:vAlign w:val="top"/>
          </w:tcPr>
          <w:p>
            <w:pPr>
              <w:keepNext w:val="0"/>
              <w:spacing w:line="240" w:lineRule="auto" w:after="0" w:before="0"/>
            </w:pPr>
            <w:r>
              <w:rPr>
                <w:rFonts w:ascii="Times New Roman" w:hAnsi="Times New Roman"/>
                <w:sz w:val="17"/>
              </w:rPr>
              <w:t>P2</w:t>
            </w:r>
          </w:p>
        </w:tc>
        <w:tc>
          <w:tcPr>
            <w:tcW w:type="dxa" w:w="1560"/>
            <w:vAlign w:val="top"/>
          </w:tcPr>
          <w:p>
            <w:pPr>
              <w:keepNext w:val="0"/>
              <w:spacing w:line="240" w:lineRule="auto" w:after="0" w:before="0"/>
            </w:pPr>
            <w:r>
              <w:rPr>
                <w:rFonts w:ascii="Times New Roman" w:hAnsi="Times New Roman"/>
                <w:sz w:val="17"/>
              </w:rPr>
              <w:t>Systematic review of DL + cloud for medical imaging</w:t>
            </w:r>
          </w:p>
        </w:tc>
        <w:tc>
          <w:tcPr>
            <w:tcW w:type="dxa" w:w="1560"/>
            <w:vAlign w:val="top"/>
          </w:tcPr>
          <w:p>
            <w:pPr>
              <w:keepNext w:val="0"/>
              <w:spacing w:line="240" w:lineRule="auto" w:after="0" w:before="0"/>
            </w:pPr>
            <w:r>
              <w:rPr>
                <w:rFonts w:ascii="Times New Roman" w:hAnsi="Times New Roman"/>
                <w:sz w:val="17"/>
              </w:rPr>
              <w:t>Quantifies cloud benefits (30 s retrieval, ~40% cost cut); names storage as a key cost</w:t>
            </w:r>
          </w:p>
        </w:tc>
        <w:tc>
          <w:tcPr>
            <w:tcW w:type="dxa" w:w="1560"/>
            <w:vAlign w:val="top"/>
          </w:tcPr>
          <w:p>
            <w:pPr>
              <w:keepNext w:val="0"/>
              <w:spacing w:line="240" w:lineRule="auto" w:after="0" w:before="0"/>
            </w:pPr>
            <w:r>
              <w:rPr>
                <w:rFonts w:ascii="Times New Roman" w:hAnsi="Times New Roman"/>
                <w:sz w:val="17"/>
              </w:rPr>
              <w:t>No experiment or code; hospital figures unverifiable; DL only for diagnosis</w:t>
            </w:r>
          </w:p>
        </w:tc>
        <w:tc>
          <w:tcPr>
            <w:tcW w:type="dxa" w:w="1560"/>
            <w:vAlign w:val="top"/>
          </w:tcPr>
          <w:p>
            <w:pPr>
              <w:keepNext w:val="0"/>
              <w:spacing w:line="240" w:lineRule="auto" w:after="0" w:before="0"/>
            </w:pPr>
            <w:r>
              <w:rPr>
                <w:rFonts w:ascii="Times New Roman" w:hAnsi="Times New Roman"/>
                <w:sz w:val="17"/>
              </w:rPr>
              <w:t>Shows storage is costly and DL reads scans well but never feeds the model's output back to storage</w:t>
            </w:r>
          </w:p>
        </w:tc>
        <w:tc>
          <w:tcPr>
            <w:tcW w:type="dxa" w:w="1560"/>
            <w:vAlign w:val="top"/>
          </w:tcPr>
          <w:p>
            <w:pPr>
              <w:keepNext w:val="0"/>
              <w:spacing w:line="240" w:lineRule="auto" w:after="0" w:before="0"/>
            </w:pPr>
            <w:r>
              <w:rPr>
                <w:rFonts w:ascii="Times New Roman" w:hAnsi="Times New Roman"/>
                <w:sz w:val="17"/>
              </w:rPr>
              <w:t>One model pass serves both the clinician and the tier decision; evaluate on retrieval time, monthly bill and compliance</w:t>
            </w:r>
          </w:p>
        </w:tc>
      </w:tr>
      <w:tr>
        <w:trPr>
          <w:cantSplit w:val="true"/>
        </w:trPr>
        <w:tc>
          <w:tcPr>
            <w:tcW w:type="dxa" w:w="1560"/>
            <w:vAlign w:val="top"/>
          </w:tcPr>
          <w:p>
            <w:pPr>
              <w:keepNext w:val="0"/>
              <w:spacing w:line="240" w:lineRule="auto" w:after="0" w:before="0"/>
            </w:pPr>
            <w:r>
              <w:rPr>
                <w:rFonts w:ascii="Times New Roman" w:hAnsi="Times New Roman"/>
                <w:sz w:val="17"/>
              </w:rPr>
              <w:t>P3</w:t>
            </w:r>
          </w:p>
        </w:tc>
        <w:tc>
          <w:tcPr>
            <w:tcW w:type="dxa" w:w="1560"/>
            <w:vAlign w:val="top"/>
          </w:tcPr>
          <w:p>
            <w:pPr>
              <w:keepNext w:val="0"/>
              <w:spacing w:line="240" w:lineRule="auto" w:after="0" w:before="0"/>
            </w:pPr>
            <w:r>
              <w:rPr>
                <w:rFonts w:ascii="Times New Roman" w:hAnsi="Times New Roman"/>
                <w:sz w:val="17"/>
              </w:rPr>
              <w:t>Review of lossy JPEG/JPEG2000 effects on DL</w:t>
            </w:r>
          </w:p>
        </w:tc>
        <w:tc>
          <w:tcPr>
            <w:tcW w:type="dxa" w:w="1560"/>
            <w:vAlign w:val="top"/>
          </w:tcPr>
          <w:p>
            <w:pPr>
              <w:keepNext w:val="0"/>
              <w:spacing w:line="240" w:lineRule="auto" w:after="0" w:before="0"/>
            </w:pPr>
            <w:r>
              <w:rPr>
                <w:rFonts w:ascii="Times New Roman" w:hAnsi="Times New Roman"/>
                <w:sz w:val="17"/>
              </w:rPr>
              <w:t>Real numbers on space vs. accuracy; DICOM-allowed formats only</w:t>
            </w:r>
          </w:p>
        </w:tc>
        <w:tc>
          <w:tcPr>
            <w:tcW w:type="dxa" w:w="1560"/>
            <w:vAlign w:val="top"/>
          </w:tcPr>
          <w:p>
            <w:pPr>
              <w:keepNext w:val="0"/>
              <w:spacing w:line="240" w:lineRule="auto" w:after="0" w:before="0"/>
            </w:pPr>
            <w:r>
              <w:rPr>
                <w:rFonts w:ascii="Times New Roman" w:hAnsi="Times New Roman"/>
                <w:sz w:val="17"/>
              </w:rPr>
              <w:t>Studies conflict; no safe limit per modality; compression fixed for whole archive</w:t>
            </w:r>
          </w:p>
        </w:tc>
        <w:tc>
          <w:tcPr>
            <w:tcW w:type="dxa" w:w="1560"/>
            <w:vAlign w:val="top"/>
          </w:tcPr>
          <w:p>
            <w:pPr>
              <w:keepNext w:val="0"/>
              <w:spacing w:line="240" w:lineRule="auto" w:after="0" w:before="0"/>
            </w:pPr>
            <w:r>
              <w:rPr>
                <w:rFonts w:ascii="Times New Roman" w:hAnsi="Times New Roman"/>
                <w:sz w:val="17"/>
              </w:rPr>
              <w:t>Compression and storage class are one decision seen from two sides, yet neither varies per scan</w:t>
            </w:r>
          </w:p>
        </w:tc>
        <w:tc>
          <w:tcPr>
            <w:tcW w:type="dxa" w:w="1560"/>
            <w:vAlign w:val="top"/>
          </w:tcPr>
          <w:p>
            <w:pPr>
              <w:keepNext w:val="0"/>
              <w:spacing w:line="240" w:lineRule="auto" w:after="0" w:before="0"/>
            </w:pPr>
            <w:r>
              <w:rPr>
                <w:rFonts w:ascii="Times New Roman" w:hAnsi="Times New Roman"/>
                <w:sz w:val="17"/>
              </w:rPr>
              <w:t>Make compression a second output: full quality in hot tiers, proven-safe ratio in deep archive</w:t>
            </w:r>
          </w:p>
        </w:tc>
      </w:tr>
      <w:tr>
        <w:trPr>
          <w:cantSplit w:val="true"/>
        </w:trPr>
        <w:tc>
          <w:tcPr>
            <w:tcW w:type="dxa" w:w="1560"/>
            <w:vAlign w:val="top"/>
          </w:tcPr>
          <w:p>
            <w:pPr>
              <w:keepNext w:val="0"/>
              <w:spacing w:line="240" w:lineRule="auto" w:after="0" w:before="0"/>
            </w:pPr>
            <w:r>
              <w:rPr>
                <w:rFonts w:ascii="Times New Roman" w:hAnsi="Times New Roman"/>
                <w:sz w:val="17"/>
              </w:rPr>
              <w:t>P4</w:t>
            </w:r>
          </w:p>
        </w:tc>
        <w:tc>
          <w:tcPr>
            <w:tcW w:type="dxa" w:w="1560"/>
            <w:vAlign w:val="top"/>
          </w:tcPr>
          <w:p>
            <w:pPr>
              <w:keepNext w:val="0"/>
              <w:spacing w:line="240" w:lineRule="auto" w:after="0" w:before="0"/>
            </w:pPr>
            <w:r>
              <w:rPr>
                <w:rFonts w:ascii="Times New Roman" w:hAnsi="Times New Roman"/>
                <w:sz w:val="17"/>
              </w:rPr>
              <w:t>Wavelet + cross-attention + autoencoder compression</w:t>
            </w:r>
          </w:p>
        </w:tc>
        <w:tc>
          <w:tcPr>
            <w:tcW w:type="dxa" w:w="1560"/>
            <w:vAlign w:val="top"/>
          </w:tcPr>
          <w:p>
            <w:pPr>
              <w:keepNext w:val="0"/>
              <w:spacing w:line="240" w:lineRule="auto" w:after="0" w:before="0"/>
            </w:pPr>
            <w:r>
              <w:rPr>
                <w:rFonts w:ascii="Times New Roman" w:hAnsi="Times New Roman"/>
                <w:sz w:val="17"/>
              </w:rPr>
              <w:t>Beats JPEG2000/HEVC/BPG; attention protects important regions; CPU-trainable</w:t>
            </w:r>
          </w:p>
        </w:tc>
        <w:tc>
          <w:tcPr>
            <w:tcW w:type="dxa" w:w="1560"/>
            <w:vAlign w:val="top"/>
          </w:tcPr>
          <w:p>
            <w:pPr>
              <w:keepNext w:val="0"/>
              <w:spacing w:line="240" w:lineRule="auto" w:after="0" w:before="0"/>
            </w:pPr>
            <w:r>
              <w:rPr>
                <w:rFonts w:ascii="Times New Roman" w:hAnsi="Times New Roman"/>
                <w:sz w:val="17"/>
              </w:rPr>
              <w:t>Mostly CT/brain MRI; 635 ms/image; maths metrics only; no storage or cost view</w:t>
            </w:r>
          </w:p>
        </w:tc>
        <w:tc>
          <w:tcPr>
            <w:tcW w:type="dxa" w:w="1560"/>
            <w:vAlign w:val="top"/>
          </w:tcPr>
          <w:p>
            <w:pPr>
              <w:keepNext w:val="0"/>
              <w:spacing w:line="240" w:lineRule="auto" w:after="0" w:before="0"/>
            </w:pPr>
            <w:r>
              <w:rPr>
                <w:rFonts w:ascii="Times New Roman" w:hAnsi="Times New Roman"/>
                <w:sz w:val="17"/>
              </w:rPr>
              <w:t>The attention map already locates medically important content but is discarded after compression</w:t>
            </w:r>
          </w:p>
        </w:tc>
        <w:tc>
          <w:tcPr>
            <w:tcW w:type="dxa" w:w="1560"/>
            <w:vAlign w:val="top"/>
          </w:tcPr>
          <w:p>
            <w:pPr>
              <w:keepNext w:val="0"/>
              <w:spacing w:line="240" w:lineRule="auto" w:after="0" w:before="0"/>
            </w:pPr>
            <w:r>
              <w:rPr>
                <w:rFonts w:ascii="Times New Roman" w:hAnsi="Times New Roman"/>
                <w:sz w:val="17"/>
              </w:rPr>
              <w:t>Feed an image-importance score into the tier decision; evaluate with downstream task accuracy and the S3 bill</w:t>
            </w:r>
          </w:p>
        </w:tc>
      </w:tr>
      <w:tr>
        <w:trPr>
          <w:cantSplit w:val="true"/>
        </w:trPr>
        <w:tc>
          <w:tcPr>
            <w:tcW w:type="dxa" w:w="1560"/>
            <w:vAlign w:val="top"/>
          </w:tcPr>
          <w:p>
            <w:pPr>
              <w:keepNext w:val="0"/>
              <w:spacing w:line="240" w:lineRule="auto" w:after="0" w:before="0"/>
            </w:pPr>
            <w:r>
              <w:rPr>
                <w:rFonts w:ascii="Times New Roman" w:hAnsi="Times New Roman"/>
                <w:sz w:val="17"/>
              </w:rPr>
              <w:t>P5</w:t>
            </w:r>
          </w:p>
        </w:tc>
        <w:tc>
          <w:tcPr>
            <w:tcW w:type="dxa" w:w="1560"/>
            <w:vAlign w:val="top"/>
          </w:tcPr>
          <w:p>
            <w:pPr>
              <w:keepNext w:val="0"/>
              <w:spacing w:line="240" w:lineRule="auto" w:after="0" w:before="0"/>
            </w:pPr>
            <w:r>
              <w:rPr>
                <w:rFonts w:ascii="Times New Roman" w:hAnsi="Times New Roman"/>
                <w:sz w:val="17"/>
              </w:rPr>
              <w:t>Expert-rated criteria + classifiers recommend a storage location</w:t>
            </w:r>
          </w:p>
        </w:tc>
        <w:tc>
          <w:tcPr>
            <w:tcW w:type="dxa" w:w="1560"/>
            <w:vAlign w:val="top"/>
          </w:tcPr>
          <w:p>
            <w:pPr>
              <w:keepNext w:val="0"/>
              <w:spacing w:line="240" w:lineRule="auto" w:after="0" w:before="0"/>
            </w:pPr>
            <w:r>
              <w:rPr>
                <w:rFonts w:ascii="Times New Roman" w:hAnsi="Times New Roman"/>
                <w:sz w:val="17"/>
              </w:rPr>
              <w:t>Closest prior work; multi-criteria; privacy built in; reports F1</w:t>
            </w:r>
          </w:p>
        </w:tc>
        <w:tc>
          <w:tcPr>
            <w:tcW w:type="dxa" w:w="1560"/>
            <w:vAlign w:val="top"/>
          </w:tcPr>
          <w:p>
            <w:pPr>
              <w:keepNext w:val="0"/>
              <w:spacing w:line="240" w:lineRule="auto" w:after="0" w:before="0"/>
            </w:pPr>
            <w:r>
              <w:rPr>
                <w:rFonts w:ascii="Times New Roman" w:hAnsi="Times New Roman"/>
                <w:sz w:val="17"/>
              </w:rPr>
              <w:t>Trained on opinion, imbalanced classes, label fixed once, text only, three broad options, 2022</w:t>
            </w:r>
          </w:p>
        </w:tc>
        <w:tc>
          <w:tcPr>
            <w:tcW w:type="dxa" w:w="1560"/>
            <w:vAlign w:val="top"/>
          </w:tcPr>
          <w:p>
            <w:pPr>
              <w:keepNext w:val="0"/>
              <w:spacing w:line="240" w:lineRule="auto" w:after="0" w:before="0"/>
            </w:pPr>
            <w:r>
              <w:rPr>
                <w:rFonts w:ascii="Times New Roman" w:hAnsi="Times New Roman"/>
                <w:sz w:val="17"/>
              </w:rPr>
              <w:t>Decision taken once at arrival, never revisited, and never looks at image content</w:t>
            </w:r>
          </w:p>
        </w:tc>
        <w:tc>
          <w:tcPr>
            <w:tcW w:type="dxa" w:w="1560"/>
            <w:vAlign w:val="top"/>
          </w:tcPr>
          <w:p>
            <w:pPr>
              <w:keepNext w:val="0"/>
              <w:spacing w:line="240" w:lineRule="auto" w:after="0" w:before="0"/>
            </w:pPr>
            <w:r>
              <w:rPr>
                <w:rFonts w:ascii="Times New Roman" w:hAnsi="Times New Roman"/>
                <w:sz w:val="17"/>
              </w:rPr>
              <w:t>Train on re-access behaviour, work per scan with image features, re-check with Lifecycle; penalise wrong archiving more</w:t>
            </w:r>
          </w:p>
        </w:tc>
      </w:tr>
      <w:tr>
        <w:tc>
          <w:tcPr>
            <w:tcW w:type="dxa" w:w="9360"/>
            <w:gridSpan w:val="6"/>
            <w:vAlign w:val="center"/>
            <w:shd w:val="clear" w:color="auto" w:fill="EEF3F8"/>
          </w:tcPr>
          <w:p>
            <w:pPr>
              <w:keepNext w:val="0"/>
              <w:spacing w:line="240" w:lineRule="auto" w:after="0" w:before="0"/>
            </w:pPr>
            <w:r>
              <w:rPr>
                <w:rFonts w:ascii="Times New Roman" w:hAnsi="Times New Roman"/>
                <w:b/>
                <w:sz w:val="17"/>
              </w:rPr>
              <w:t>Student 2 – Subhrojyoti Das (24BIT0194): papers P6–P10</w:t>
            </w:r>
          </w:p>
        </w:tc>
      </w:tr>
      <w:tr>
        <w:trPr>
          <w:cantSplit w:val="true"/>
        </w:trPr>
        <w:tc>
          <w:tcPr>
            <w:tcW w:type="dxa" w:w="1560"/>
            <w:vAlign w:val="top"/>
          </w:tcPr>
          <w:p>
            <w:pPr>
              <w:keepNext w:val="0"/>
              <w:spacing w:line="240" w:lineRule="auto" w:after="0" w:before="0"/>
            </w:pPr>
            <w:r>
              <w:rPr>
                <w:rFonts w:ascii="Times New Roman" w:hAnsi="Times New Roman"/>
                <w:sz w:val="17"/>
              </w:rPr>
              <w:t>P6</w:t>
            </w:r>
          </w:p>
        </w:tc>
        <w:tc>
          <w:tcPr>
            <w:tcW w:type="dxa" w:w="1560"/>
            <w:vAlign w:val="top"/>
          </w:tcPr>
          <w:p>
            <w:pPr>
              <w:keepNext w:val="0"/>
              <w:spacing w:line="240" w:lineRule="auto" w:after="0" w:before="0"/>
            </w:pPr>
            <w:r>
              <w:rPr>
                <w:rFonts w:ascii="Times New Roman" w:hAnsi="Times New Roman"/>
                <w:sz w:val="17"/>
              </w:rPr>
              <w:t>Two cooperating RL agents for placement and migration</w:t>
            </w:r>
          </w:p>
        </w:tc>
        <w:tc>
          <w:tcPr>
            <w:tcW w:type="dxa" w:w="1560"/>
            <w:vAlign w:val="top"/>
          </w:tcPr>
          <w:p>
            <w:pPr>
              <w:keepNext w:val="0"/>
              <w:spacing w:line="240" w:lineRule="auto" w:after="0" w:before="0"/>
            </w:pPr>
            <w:r>
              <w:rPr>
                <w:rFonts w:ascii="Times New Roman" w:hAnsi="Times New Roman"/>
                <w:sz w:val="17"/>
              </w:rPr>
              <w:t>Large latency/IOPS gains; 3–4 devices; 240 ns, 206 KiB; generalises to unseen traces</w:t>
            </w:r>
          </w:p>
        </w:tc>
        <w:tc>
          <w:tcPr>
            <w:tcW w:type="dxa" w:w="1560"/>
            <w:vAlign w:val="top"/>
          </w:tcPr>
          <w:p>
            <w:pPr>
              <w:keepNext w:val="0"/>
              <w:spacing w:line="240" w:lineRule="auto" w:after="0" w:before="0"/>
            </w:pPr>
            <w:r>
              <w:rPr>
                <w:rFonts w:ascii="Times New Roman" w:hAnsi="Times New Roman"/>
                <w:sz w:val="17"/>
              </w:rPr>
              <w:t>No medical data; behaviour-only inputs; "cost" means hardware; tuned once; no retention</w:t>
            </w:r>
          </w:p>
        </w:tc>
        <w:tc>
          <w:tcPr>
            <w:tcW w:type="dxa" w:w="1560"/>
            <w:vAlign w:val="top"/>
          </w:tcPr>
          <w:p>
            <w:pPr>
              <w:keepNext w:val="0"/>
              <w:spacing w:line="240" w:lineRule="auto" w:after="0" w:before="0"/>
            </w:pPr>
            <w:r>
              <w:rPr>
                <w:rFonts w:ascii="Times New Roman" w:hAnsi="Times New Roman"/>
                <w:sz w:val="17"/>
              </w:rPr>
              <w:t>A follow-up oncology CT and a routine X-ray with equal behaviour are placed identically; cost is not a cloud bill</w:t>
            </w:r>
          </w:p>
        </w:tc>
        <w:tc>
          <w:tcPr>
            <w:tcW w:type="dxa" w:w="1560"/>
            <w:vAlign w:val="top"/>
          </w:tcPr>
          <w:p>
            <w:pPr>
              <w:keepNext w:val="0"/>
              <w:spacing w:line="240" w:lineRule="auto" w:after="0" w:before="0"/>
            </w:pPr>
            <w:r>
              <w:rPr>
                <w:rFonts w:ascii="Times New Roman" w:hAnsi="Times New Roman"/>
                <w:sz w:val="17"/>
              </w:rPr>
              <w:t>Keep placement + migration; add image and DICOM inputs; reward the real S3 bill; make the penalty asymmetric</w:t>
            </w:r>
          </w:p>
        </w:tc>
      </w:tr>
      <w:tr>
        <w:trPr>
          <w:cantSplit w:val="true"/>
        </w:trPr>
        <w:tc>
          <w:tcPr>
            <w:tcW w:type="dxa" w:w="1560"/>
            <w:vAlign w:val="top"/>
          </w:tcPr>
          <w:p>
            <w:pPr>
              <w:keepNext w:val="0"/>
              <w:spacing w:line="240" w:lineRule="auto" w:after="0" w:before="0"/>
            </w:pPr>
            <w:r>
              <w:rPr>
                <w:rFonts w:ascii="Times New Roman" w:hAnsi="Times New Roman"/>
                <w:sz w:val="17"/>
              </w:rPr>
              <w:t>P7</w:t>
            </w:r>
          </w:p>
        </w:tc>
        <w:tc>
          <w:tcPr>
            <w:tcW w:type="dxa" w:w="1560"/>
            <w:vAlign w:val="top"/>
          </w:tcPr>
          <w:p>
            <w:pPr>
              <w:keepNext w:val="0"/>
              <w:spacing w:line="240" w:lineRule="auto" w:after="0" w:before="0"/>
            </w:pPr>
            <w:r>
              <w:rPr>
                <w:rFonts w:ascii="Times New Roman" w:hAnsi="Times New Roman"/>
                <w:sz w:val="17"/>
              </w:rPr>
              <w:t>Overview of Pythia, Hermes and Sibyl (RL placement)</w:t>
            </w:r>
          </w:p>
        </w:tc>
        <w:tc>
          <w:tcPr>
            <w:tcW w:type="dxa" w:w="1560"/>
            <w:vAlign w:val="top"/>
          </w:tcPr>
          <w:p>
            <w:pPr>
              <w:keepNext w:val="0"/>
              <w:spacing w:line="240" w:lineRule="auto" w:after="0" w:before="0"/>
            </w:pPr>
            <w:r>
              <w:rPr>
                <w:rFonts w:ascii="Times New Roman" w:hAnsi="Times New Roman"/>
                <w:sz w:val="17"/>
              </w:rPr>
              <w:t>Learning beats rules by 19.9–68.8%; real hardware; inputs stated openly</w:t>
            </w:r>
          </w:p>
        </w:tc>
        <w:tc>
          <w:tcPr>
            <w:tcW w:type="dxa" w:w="1560"/>
            <w:vAlign w:val="top"/>
          </w:tcPr>
          <w:p>
            <w:pPr>
              <w:keepNext w:val="0"/>
              <w:spacing w:line="240" w:lineRule="auto" w:after="0" w:before="0"/>
            </w:pPr>
            <w:r>
              <w:rPr>
                <w:rFonts w:ascii="Times New Roman" w:hAnsi="Times New Roman"/>
                <w:sz w:val="17"/>
              </w:rPr>
              <w:t>Six behavioural inputs only; enterprise traces; cold start; devices not cloud classes</w:t>
            </w:r>
          </w:p>
        </w:tc>
        <w:tc>
          <w:tcPr>
            <w:tcW w:type="dxa" w:w="1560"/>
            <w:vAlign w:val="top"/>
          </w:tcPr>
          <w:p>
            <w:pPr>
              <w:keepNext w:val="0"/>
              <w:spacing w:line="240" w:lineRule="auto" w:after="0" w:before="0"/>
            </w:pPr>
            <w:r>
              <w:rPr>
                <w:rFonts w:ascii="Times New Roman" w:hAnsi="Times New Roman"/>
                <w:sz w:val="17"/>
              </w:rPr>
              <w:t>Sibyl's six inputs state the project's gap in one line: none describes what the data is, so new scans are placed blindly</w:t>
            </w:r>
          </w:p>
        </w:tc>
        <w:tc>
          <w:tcPr>
            <w:tcW w:type="dxa" w:w="1560"/>
            <w:vAlign w:val="top"/>
          </w:tcPr>
          <w:p>
            <w:pPr>
              <w:keepNext w:val="0"/>
              <w:spacing w:line="240" w:lineRule="auto" w:after="0" w:before="0"/>
            </w:pPr>
            <w:r>
              <w:rPr>
                <w:rFonts w:ascii="Times New Roman" w:hAnsi="Times New Roman"/>
                <w:sz w:val="17"/>
              </w:rPr>
              <w:t>Extend inputs with metadata and a learned image feature to solve the cold-start problem on day one</w:t>
            </w:r>
          </w:p>
        </w:tc>
      </w:tr>
      <w:tr>
        <w:trPr>
          <w:cantSplit w:val="true"/>
        </w:trPr>
        <w:tc>
          <w:tcPr>
            <w:tcW w:type="dxa" w:w="1560"/>
            <w:vAlign w:val="top"/>
          </w:tcPr>
          <w:p>
            <w:pPr>
              <w:keepNext w:val="0"/>
              <w:spacing w:line="240" w:lineRule="auto" w:after="0" w:before="0"/>
            </w:pPr>
            <w:r>
              <w:rPr>
                <w:rFonts w:ascii="Times New Roman" w:hAnsi="Times New Roman"/>
                <w:sz w:val="17"/>
              </w:rPr>
              <w:t>P8</w:t>
            </w:r>
          </w:p>
        </w:tc>
        <w:tc>
          <w:tcPr>
            <w:tcW w:type="dxa" w:w="1560"/>
            <w:vAlign w:val="top"/>
          </w:tcPr>
          <w:p>
            <w:pPr>
              <w:keepNext w:val="0"/>
              <w:spacing w:line="240" w:lineRule="auto" w:after="0" w:before="0"/>
            </w:pPr>
            <w:r>
              <w:rPr>
                <w:rFonts w:ascii="Times New Roman" w:hAnsi="Times New Roman"/>
                <w:sz w:val="17"/>
              </w:rPr>
              <w:t>Dueling DQN replaces LRU eviction; trained offline from logs</w:t>
            </w:r>
          </w:p>
        </w:tc>
        <w:tc>
          <w:tcPr>
            <w:tcW w:type="dxa" w:w="1560"/>
            <w:vAlign w:val="top"/>
          </w:tcPr>
          <w:p>
            <w:pPr>
              <w:keepNext w:val="0"/>
              <w:spacing w:line="240" w:lineRule="auto" w:after="0" w:before="0"/>
            </w:pPr>
            <w:r>
              <w:rPr>
                <w:rFonts w:ascii="Times New Roman" w:hAnsi="Times New Roman"/>
                <w:sz w:val="17"/>
              </w:rPr>
              <w:t>Offline training from recorded logs; inputs map to scan attributes; &lt;2% CPU; public code</w:t>
            </w:r>
          </w:p>
        </w:tc>
        <w:tc>
          <w:tcPr>
            <w:tcW w:type="dxa" w:w="1560"/>
            <w:vAlign w:val="top"/>
          </w:tcPr>
          <w:p>
            <w:pPr>
              <w:keepNext w:val="0"/>
              <w:spacing w:line="240" w:lineRule="auto" w:after="0" w:before="0"/>
            </w:pPr>
            <w:r>
              <w:rPr>
                <w:rFonts w:ascii="Times New Roman" w:hAnsi="Times New Roman"/>
                <w:sz w:val="17"/>
              </w:rPr>
              <w:t>Web cache, two outcomes, binary reward, no money, benefit shrinks with cache size</w:t>
            </w:r>
          </w:p>
        </w:tc>
        <w:tc>
          <w:tcPr>
            <w:tcW w:type="dxa" w:w="1560"/>
            <w:vAlign w:val="top"/>
          </w:tcPr>
          <w:p>
            <w:pPr>
              <w:keepNext w:val="0"/>
              <w:spacing w:line="240" w:lineRule="auto" w:after="0" w:before="0"/>
            </w:pPr>
            <w:r>
              <w:rPr>
                <w:rFonts w:ascii="Times New Roman" w:hAnsi="Times New Roman"/>
                <w:sz w:val="17"/>
              </w:rPr>
              <w:t>A two-way, equal-cost decision cannot express that wrongly archiving a needed scan is far worse than overpaying</w:t>
            </w:r>
          </w:p>
        </w:tc>
        <w:tc>
          <w:tcPr>
            <w:tcW w:type="dxa" w:w="1560"/>
            <w:vAlign w:val="top"/>
          </w:tcPr>
          <w:p>
            <w:pPr>
              <w:keepNext w:val="0"/>
              <w:spacing w:line="240" w:lineRule="auto" w:after="0" w:before="0"/>
            </w:pPr>
            <w:r>
              <w:rPr>
                <w:rFonts w:ascii="Times New Roman" w:hAnsi="Times New Roman"/>
                <w:sz w:val="17"/>
              </w:rPr>
              <w:t>Reuse the offline pipeline; widen to four S3 classes; reward in money with a heavy penalty for wrong archiving</w:t>
            </w:r>
          </w:p>
        </w:tc>
      </w:tr>
      <w:tr>
        <w:trPr>
          <w:cantSplit w:val="true"/>
        </w:trPr>
        <w:tc>
          <w:tcPr>
            <w:tcW w:type="dxa" w:w="1560"/>
            <w:vAlign w:val="top"/>
          </w:tcPr>
          <w:p>
            <w:pPr>
              <w:keepNext w:val="0"/>
              <w:spacing w:line="240" w:lineRule="auto" w:after="0" w:before="0"/>
            </w:pPr>
            <w:r>
              <w:rPr>
                <w:rFonts w:ascii="Times New Roman" w:hAnsi="Times New Roman"/>
                <w:sz w:val="17"/>
              </w:rPr>
              <w:t>P9</w:t>
            </w:r>
          </w:p>
        </w:tc>
        <w:tc>
          <w:tcPr>
            <w:tcW w:type="dxa" w:w="1560"/>
            <w:vAlign w:val="top"/>
          </w:tcPr>
          <w:p>
            <w:pPr>
              <w:keepNext w:val="0"/>
              <w:spacing w:line="240" w:lineRule="auto" w:after="0" w:before="0"/>
            </w:pPr>
            <w:r>
              <w:rPr>
                <w:rFonts w:ascii="Times New Roman" w:hAnsi="Times New Roman"/>
                <w:sz w:val="17"/>
              </w:rPr>
              <w:t>Kaapana: Kubernetes, Airflow, MinIO, OpenSearch, Keycloak, PACS, nnU-Net</w:t>
            </w:r>
          </w:p>
        </w:tc>
        <w:tc>
          <w:tcPr>
            <w:tcW w:type="dxa" w:w="1560"/>
            <w:vAlign w:val="top"/>
          </w:tcPr>
          <w:p>
            <w:pPr>
              <w:keepNext w:val="0"/>
              <w:spacing w:line="240" w:lineRule="auto" w:after="0" w:before="0"/>
            </w:pPr>
            <w:r>
              <w:rPr>
                <w:rFonts w:ascii="Times New Roman" w:hAnsi="Times New Roman"/>
                <w:sz w:val="17"/>
              </w:rPr>
              <w:t>Proven in real networks; S3-compatible; DICOM index already built; free</w:t>
            </w:r>
          </w:p>
        </w:tc>
        <w:tc>
          <w:tcPr>
            <w:tcW w:type="dxa" w:w="1560"/>
            <w:vAlign w:val="top"/>
          </w:tcPr>
          <w:p>
            <w:pPr>
              <w:keepNext w:val="0"/>
              <w:spacing w:line="240" w:lineRule="auto" w:after="0" w:before="0"/>
            </w:pPr>
            <w:r>
              <w:rPr>
                <w:rFonts w:ascii="Times New Roman" w:hAnsi="Times New Roman"/>
                <w:sz w:val="17"/>
              </w:rPr>
              <w:t>Flat storage, no cost awareness, no lifecycle, AI only diagnostic, no storage metrics</w:t>
            </w:r>
          </w:p>
        </w:tc>
        <w:tc>
          <w:tcPr>
            <w:tcW w:type="dxa" w:w="1560"/>
            <w:vAlign w:val="top"/>
          </w:tcPr>
          <w:p>
            <w:pPr>
              <w:keepNext w:val="0"/>
              <w:spacing w:line="240" w:lineRule="auto" w:after="0" w:before="0"/>
            </w:pPr>
            <w:r>
              <w:rPr>
                <w:rFonts w:ascii="Times New Roman" w:hAnsi="Times New Roman"/>
                <w:sz w:val="17"/>
              </w:rPr>
              <w:t>Owns every ingredient (index, S3 store, scheduler, DL) yet connects none of them to placement</w:t>
            </w:r>
          </w:p>
        </w:tc>
        <w:tc>
          <w:tcPr>
            <w:tcW w:type="dxa" w:w="1560"/>
            <w:vAlign w:val="top"/>
          </w:tcPr>
          <w:p>
            <w:pPr>
              <w:keepNext w:val="0"/>
              <w:spacing w:line="240" w:lineRule="auto" w:after="0" w:before="0"/>
            </w:pPr>
            <w:r>
              <w:rPr>
                <w:rFonts w:ascii="Times New Roman" w:hAnsi="Times New Roman"/>
                <w:sz w:val="17"/>
              </w:rPr>
              <w:t>Run the tier recommender as a scheduled job that writes S3 lifecycle decisions</w:t>
            </w:r>
          </w:p>
        </w:tc>
      </w:tr>
      <w:tr>
        <w:trPr>
          <w:cantSplit w:val="true"/>
        </w:trPr>
        <w:tc>
          <w:tcPr>
            <w:tcW w:type="dxa" w:w="1560"/>
            <w:vAlign w:val="top"/>
          </w:tcPr>
          <w:p>
            <w:pPr>
              <w:keepNext w:val="0"/>
              <w:spacing w:line="240" w:lineRule="auto" w:after="0" w:before="0"/>
            </w:pPr>
            <w:r>
              <w:rPr>
                <w:rFonts w:ascii="Times New Roman" w:hAnsi="Times New Roman"/>
                <w:sz w:val="17"/>
              </w:rPr>
              <w:t>P10</w:t>
            </w:r>
          </w:p>
        </w:tc>
        <w:tc>
          <w:tcPr>
            <w:tcW w:type="dxa" w:w="1560"/>
            <w:vAlign w:val="top"/>
          </w:tcPr>
          <w:p>
            <w:pPr>
              <w:keepNext w:val="0"/>
              <w:spacing w:line="240" w:lineRule="auto" w:after="0" w:before="0"/>
            </w:pPr>
            <w:r>
              <w:rPr>
                <w:rFonts w:ascii="Times New Roman" w:hAnsi="Times New Roman"/>
                <w:sz w:val="17"/>
              </w:rPr>
              <w:t>Catalogue of 1,000+ open imaging datasets with fusion paradigm</w:t>
            </w:r>
          </w:p>
        </w:tc>
        <w:tc>
          <w:tcPr>
            <w:tcW w:type="dxa" w:w="1560"/>
            <w:vAlign w:val="top"/>
          </w:tcPr>
          <w:p>
            <w:pPr>
              <w:keepNext w:val="0"/>
              <w:spacing w:line="240" w:lineRule="auto" w:after="0" w:before="0"/>
            </w:pPr>
            <w:r>
              <w:rPr>
                <w:rFonts w:ascii="Times New Roman" w:hAnsi="Times New Roman"/>
                <w:sz w:val="17"/>
              </w:rPr>
              <w:t>Solves dataset search; records limitations; current (2026); free portal</w:t>
            </w:r>
          </w:p>
        </w:tc>
        <w:tc>
          <w:tcPr>
            <w:tcW w:type="dxa" w:w="1560"/>
            <w:vAlign w:val="top"/>
          </w:tcPr>
          <w:p>
            <w:pPr>
              <w:keepNext w:val="0"/>
              <w:spacing w:line="240" w:lineRule="auto" w:after="0" w:before="0"/>
            </w:pPr>
            <w:r>
              <w:rPr>
                <w:rFonts w:ascii="Times New Roman" w:hAnsi="Times New Roman"/>
                <w:sz w:val="17"/>
              </w:rPr>
              <w:t>Catalogue only; all diagnostic; no access logs; many PNG/JPEG without DICOM headers</w:t>
            </w:r>
          </w:p>
        </w:tc>
        <w:tc>
          <w:tcPr>
            <w:tcW w:type="dxa" w:w="1560"/>
            <w:vAlign w:val="top"/>
          </w:tcPr>
          <w:p>
            <w:pPr>
              <w:keepNext w:val="0"/>
              <w:spacing w:line="240" w:lineRule="auto" w:after="0" w:before="0"/>
            </w:pPr>
            <w:r>
              <w:rPr>
                <w:rFonts w:ascii="Times New Roman" w:hAnsi="Times New Roman"/>
                <w:sz w:val="17"/>
              </w:rPr>
              <w:t>Over 1,000 datasets exist, yet none records retrievals, so the label must be derived rather than downloaded</w:t>
            </w:r>
          </w:p>
        </w:tc>
        <w:tc>
          <w:tcPr>
            <w:tcW w:type="dxa" w:w="1560"/>
            <w:vAlign w:val="top"/>
          </w:tcPr>
          <w:p>
            <w:pPr>
              <w:keepNext w:val="0"/>
              <w:spacing w:line="240" w:lineRule="auto" w:after="0" w:before="0"/>
            </w:pPr>
            <w:r>
              <w:rPr>
                <w:rFonts w:ascii="Times New Roman" w:hAnsi="Times New Roman"/>
                <w:sz w:val="17"/>
              </w:rPr>
              <w:t>Pick a dataset with repeated patient studies; derive a follow-up proxy label; state it openly and test sensitivity</w:t>
            </w:r>
          </w:p>
        </w:tc>
      </w:tr>
      <w:tr>
        <w:tc>
          <w:tcPr>
            <w:tcW w:type="dxa" w:w="9360"/>
            <w:gridSpan w:val="6"/>
            <w:vAlign w:val="center"/>
            <w:shd w:val="clear" w:color="auto" w:fill="EEF3F8"/>
          </w:tcPr>
          <w:p>
            <w:pPr>
              <w:keepNext w:val="0"/>
              <w:spacing w:line="240" w:lineRule="auto" w:after="0" w:before="0"/>
            </w:pPr>
            <w:r>
              <w:rPr>
                <w:rFonts w:ascii="Times New Roman" w:hAnsi="Times New Roman"/>
                <w:b/>
                <w:sz w:val="17"/>
              </w:rPr>
              <w:t>Student 3 – Mehul Anand (24BIT0185): papers P11–P15</w:t>
            </w:r>
          </w:p>
        </w:tc>
      </w:tr>
      <w:tr>
        <w:trPr>
          <w:cantSplit w:val="true"/>
        </w:trPr>
        <w:tc>
          <w:tcPr>
            <w:tcW w:type="dxa" w:w="1560"/>
            <w:vAlign w:val="top"/>
          </w:tcPr>
          <w:p>
            <w:pPr>
              <w:keepNext w:val="0"/>
              <w:spacing w:line="240" w:lineRule="auto" w:after="0" w:before="0"/>
            </w:pPr>
            <w:r>
              <w:rPr>
                <w:rFonts w:ascii="Times New Roman" w:hAnsi="Times New Roman"/>
                <w:sz w:val="17"/>
              </w:rPr>
              <w:t>P11</w:t>
            </w:r>
          </w:p>
        </w:tc>
        <w:tc>
          <w:tcPr>
            <w:tcW w:type="dxa" w:w="1560"/>
            <w:vAlign w:val="top"/>
          </w:tcPr>
          <w:p>
            <w:pPr>
              <w:keepNext w:val="0"/>
              <w:spacing w:line="240" w:lineRule="auto" w:after="0" w:before="0"/>
            </w:pPr>
            <w:r>
              <w:rPr>
                <w:rFonts w:ascii="Times New Roman" w:hAnsi="Times New Roman"/>
                <w:sz w:val="17"/>
              </w:rPr>
              <w:t>Server metrics + feature selection + classifier choose Cassandra/MongoDB/HDFS</w:t>
            </w:r>
          </w:p>
        </w:tc>
        <w:tc>
          <w:tcPr>
            <w:tcW w:type="dxa" w:w="1560"/>
            <w:vAlign w:val="top"/>
          </w:tcPr>
          <w:p>
            <w:pPr>
              <w:keepNext w:val="0"/>
              <w:spacing w:line="240" w:lineRule="auto" w:after="0" w:before="0"/>
            </w:pPr>
            <w:r>
              <w:rPr>
                <w:rFonts w:ascii="Times New Roman" w:hAnsi="Times New Roman"/>
                <w:sz w:val="17"/>
              </w:rPr>
              <w:t>Proves a model can choose storage; removes manual schema edits; useful 9-way comparison</w:t>
            </w:r>
          </w:p>
        </w:tc>
        <w:tc>
          <w:tcPr>
            <w:tcW w:type="dxa" w:w="1560"/>
            <w:vAlign w:val="top"/>
          </w:tcPr>
          <w:p>
            <w:pPr>
              <w:keepNext w:val="0"/>
              <w:spacing w:line="240" w:lineRule="auto" w:after="0" w:before="0"/>
            </w:pPr>
            <w:r>
              <w:rPr>
                <w:rFonts w:ascii="Times New Roman" w:hAnsi="Times New Roman"/>
                <w:sz w:val="17"/>
              </w:rPr>
              <w:t>Offline, uncorrectable; three classes, no DICOM; one workstation; small self-made data; no cost or security</w:t>
            </w:r>
          </w:p>
        </w:tc>
        <w:tc>
          <w:tcPr>
            <w:tcW w:type="dxa" w:w="1560"/>
            <w:vAlign w:val="top"/>
          </w:tcPr>
          <w:p>
            <w:pPr>
              <w:keepNext w:val="0"/>
              <w:spacing w:line="240" w:lineRule="auto" w:after="0" w:before="0"/>
            </w:pPr>
            <w:r>
              <w:rPr>
                <w:rFonts w:ascii="Times New Roman" w:hAnsi="Times New Roman"/>
                <w:sz w:val="17"/>
              </w:rPr>
              <w:t>Decides by watching the server, not the data, so two CT scans written together look identical; picks a database, not a priced class</w:t>
            </w:r>
          </w:p>
        </w:tc>
        <w:tc>
          <w:tcPr>
            <w:tcW w:type="dxa" w:w="1560"/>
            <w:vAlign w:val="top"/>
          </w:tcPr>
          <w:p>
            <w:pPr>
              <w:keepNext w:val="0"/>
              <w:spacing w:line="240" w:lineRule="auto" w:after="0" w:before="0"/>
            </w:pPr>
            <w:r>
              <w:rPr>
                <w:rFonts w:ascii="Times New Roman" w:hAnsi="Times New Roman"/>
                <w:sz w:val="17"/>
              </w:rPr>
              <w:t>Use image + metadata + access history; output an S3 class tied to cost; re-check via Lifecycle</w:t>
            </w:r>
          </w:p>
        </w:tc>
      </w:tr>
      <w:tr>
        <w:trPr>
          <w:cantSplit w:val="true"/>
        </w:trPr>
        <w:tc>
          <w:tcPr>
            <w:tcW w:type="dxa" w:w="1560"/>
            <w:vAlign w:val="top"/>
          </w:tcPr>
          <w:p>
            <w:pPr>
              <w:keepNext w:val="0"/>
              <w:spacing w:line="240" w:lineRule="auto" w:after="0" w:before="0"/>
            </w:pPr>
            <w:r>
              <w:rPr>
                <w:rFonts w:ascii="Times New Roman" w:hAnsi="Times New Roman"/>
                <w:sz w:val="17"/>
              </w:rPr>
              <w:t>P12</w:t>
            </w:r>
          </w:p>
        </w:tc>
        <w:tc>
          <w:tcPr>
            <w:tcW w:type="dxa" w:w="1560"/>
            <w:vAlign w:val="top"/>
          </w:tcPr>
          <w:p>
            <w:pPr>
              <w:keepNext w:val="0"/>
              <w:spacing w:line="240" w:lineRule="auto" w:after="0" w:before="0"/>
            </w:pPr>
            <w:r>
              <w:rPr>
                <w:rFonts w:ascii="Times New Roman" w:hAnsi="Times New Roman"/>
                <w:sz w:val="17"/>
              </w:rPr>
              <w:t>SFMedIR: federated ConvNeXt hashing, encryption, shadow storage on EC2</w:t>
            </w:r>
          </w:p>
        </w:tc>
        <w:tc>
          <w:tcPr>
            <w:tcW w:type="dxa" w:w="1560"/>
            <w:vAlign w:val="top"/>
          </w:tcPr>
          <w:p>
            <w:pPr>
              <w:keepNext w:val="0"/>
              <w:spacing w:line="240" w:lineRule="auto" w:after="0" w:before="0"/>
            </w:pPr>
            <w:r>
              <w:rPr>
                <w:rFonts w:ascii="Times New Roman" w:hAnsi="Times New Roman"/>
                <w:sz w:val="17"/>
              </w:rPr>
              <w:t>Content codes for scans; privacy via FL; security + fault tolerance + accuracy together</w:t>
            </w:r>
          </w:p>
        </w:tc>
        <w:tc>
          <w:tcPr>
            <w:tcW w:type="dxa" w:w="1560"/>
            <w:vAlign w:val="top"/>
          </w:tcPr>
          <w:p>
            <w:pPr>
              <w:keepNext w:val="0"/>
              <w:spacing w:line="240" w:lineRule="auto" w:after="0" w:before="0"/>
            </w:pPr>
            <w:r>
              <w:rPr>
                <w:rFonts w:ascii="Times New Roman" w:hAnsi="Times New Roman"/>
                <w:sz w:val="17"/>
              </w:rPr>
              <w:t>Idealised network; small simulation; cost and delay unmeasured; same storage for every image; custom crypto</w:t>
            </w:r>
          </w:p>
        </w:tc>
        <w:tc>
          <w:tcPr>
            <w:tcW w:type="dxa" w:w="1560"/>
            <w:vAlign w:val="top"/>
          </w:tcPr>
          <w:p>
            <w:pPr>
              <w:keepNext w:val="0"/>
              <w:spacing w:line="240" w:lineRule="auto" w:after="0" w:before="0"/>
            </w:pPr>
            <w:r>
              <w:rPr>
                <w:rFonts w:ascii="Times New Roman" w:hAnsi="Times New Roman"/>
                <w:sz w:val="17"/>
              </w:rPr>
              <w:t>Builds an image code that describes content, but uses it only for search, never for placement</w:t>
            </w:r>
          </w:p>
        </w:tc>
        <w:tc>
          <w:tcPr>
            <w:tcW w:type="dxa" w:w="1560"/>
            <w:vAlign w:val="top"/>
          </w:tcPr>
          <w:p>
            <w:pPr>
              <w:keepNext w:val="0"/>
              <w:spacing w:line="240" w:lineRule="auto" w:after="0" w:before="0"/>
            </w:pPr>
            <w:r>
              <w:rPr>
                <w:rFonts w:ascii="Times New Roman" w:hAnsi="Times New Roman"/>
                <w:sz w:val="17"/>
              </w:rPr>
              <w:t>Point the content representation at retrieval likelihood; use S3 SSE and replication; report the bill and restore time</w:t>
            </w:r>
          </w:p>
        </w:tc>
      </w:tr>
      <w:tr>
        <w:trPr>
          <w:cantSplit w:val="true"/>
        </w:trPr>
        <w:tc>
          <w:tcPr>
            <w:tcW w:type="dxa" w:w="1560"/>
            <w:vAlign w:val="top"/>
          </w:tcPr>
          <w:p>
            <w:pPr>
              <w:keepNext w:val="0"/>
              <w:spacing w:line="240" w:lineRule="auto" w:after="0" w:before="0"/>
            </w:pPr>
            <w:r>
              <w:rPr>
                <w:rFonts w:ascii="Times New Roman" w:hAnsi="Times New Roman"/>
                <w:sz w:val="17"/>
              </w:rPr>
              <w:t>P13</w:t>
            </w:r>
          </w:p>
        </w:tc>
        <w:tc>
          <w:tcPr>
            <w:tcW w:type="dxa" w:w="1560"/>
            <w:vAlign w:val="top"/>
          </w:tcPr>
          <w:p>
            <w:pPr>
              <w:keepNext w:val="0"/>
              <w:spacing w:line="240" w:lineRule="auto" w:after="0" w:before="0"/>
            </w:pPr>
            <w:r>
              <w:rPr>
                <w:rFonts w:ascii="Times New Roman" w:hAnsi="Times New Roman"/>
                <w:sz w:val="17"/>
              </w:rPr>
              <w:t>PARADIM: Karnak, Kheops, Orthanc, Keycloak, OHIF, Kubernetes jobs</w:t>
            </w:r>
          </w:p>
        </w:tc>
        <w:tc>
          <w:tcPr>
            <w:tcW w:type="dxa" w:w="1560"/>
            <w:vAlign w:val="top"/>
          </w:tcPr>
          <w:p>
            <w:pPr>
              <w:keepNext w:val="0"/>
              <w:spacing w:line="240" w:lineRule="auto" w:after="0" w:before="0"/>
            </w:pPr>
            <w:r>
              <w:rPr>
                <w:rFonts w:ascii="Times New Roman" w:hAnsi="Times New Roman"/>
                <w:sz w:val="17"/>
              </w:rPr>
              <w:t>Complete DICOM pipeline; strong governance and audit; free components</w:t>
            </w:r>
          </w:p>
        </w:tc>
        <w:tc>
          <w:tcPr>
            <w:tcW w:type="dxa" w:w="1560"/>
            <w:vAlign w:val="top"/>
          </w:tcPr>
          <w:p>
            <w:pPr>
              <w:keepNext w:val="0"/>
              <w:spacing w:line="240" w:lineRule="auto" w:after="0" w:before="0"/>
            </w:pPr>
            <w:r>
              <w:rPr>
                <w:rFonts w:ascii="Times New Roman" w:hAnsi="Times New Roman"/>
                <w:sz w:val="17"/>
              </w:rPr>
              <w:t>On-premises only; no tiers, archive or cost figures; heavy DevOps; partly manual labelling</w:t>
            </w:r>
          </w:p>
        </w:tc>
        <w:tc>
          <w:tcPr>
            <w:tcW w:type="dxa" w:w="1560"/>
            <w:vAlign w:val="top"/>
          </w:tcPr>
          <w:p>
            <w:pPr>
              <w:keepNext w:val="0"/>
              <w:spacing w:line="240" w:lineRule="auto" w:after="0" w:before="0"/>
            </w:pPr>
            <w:r>
              <w:rPr>
                <w:rFonts w:ascii="Times New Roman" w:hAnsi="Times New Roman"/>
                <w:sz w:val="17"/>
              </w:rPr>
              <w:t>Records who opened which scan and when, yet uses it only for traceability; old scans stay on expensive storage for ever</w:t>
            </w:r>
          </w:p>
        </w:tc>
        <w:tc>
          <w:tcPr>
            <w:tcW w:type="dxa" w:w="1560"/>
            <w:vAlign w:val="top"/>
          </w:tcPr>
          <w:p>
            <w:pPr>
              <w:keepNext w:val="0"/>
              <w:spacing w:line="240" w:lineRule="auto" w:after="0" w:before="0"/>
            </w:pPr>
            <w:r>
              <w:rPr>
                <w:rFonts w:ascii="Times New Roman" w:hAnsi="Times New Roman"/>
                <w:sz w:val="17"/>
              </w:rPr>
              <w:t>Rebuild the flow on AWS (S3, Lambda, Cognito) and add a model that uses access history to choose the S3 class</w:t>
            </w:r>
          </w:p>
        </w:tc>
      </w:tr>
      <w:tr>
        <w:trPr>
          <w:cantSplit w:val="true"/>
        </w:trPr>
        <w:tc>
          <w:tcPr>
            <w:tcW w:type="dxa" w:w="1560"/>
            <w:vAlign w:val="top"/>
          </w:tcPr>
          <w:p>
            <w:pPr>
              <w:keepNext w:val="0"/>
              <w:spacing w:line="240" w:lineRule="auto" w:after="0" w:before="0"/>
            </w:pPr>
            <w:r>
              <w:rPr>
                <w:rFonts w:ascii="Times New Roman" w:hAnsi="Times New Roman"/>
                <w:sz w:val="17"/>
              </w:rPr>
              <w:t>P14</w:t>
            </w:r>
          </w:p>
        </w:tc>
        <w:tc>
          <w:tcPr>
            <w:tcW w:type="dxa" w:w="1560"/>
            <w:vAlign w:val="top"/>
          </w:tcPr>
          <w:p>
            <w:pPr>
              <w:keepNext w:val="0"/>
              <w:spacing w:line="240" w:lineRule="auto" w:after="0" w:before="0"/>
            </w:pPr>
            <w:r>
              <w:rPr>
                <w:rFonts w:ascii="Times New Roman" w:hAnsi="Times New Roman"/>
                <w:sz w:val="17"/>
              </w:rPr>
              <w:t>SIIM survey of 28 open-source data-preparation tools</w:t>
            </w:r>
          </w:p>
        </w:tc>
        <w:tc>
          <w:tcPr>
            <w:tcW w:type="dxa" w:w="1560"/>
            <w:vAlign w:val="top"/>
          </w:tcPr>
          <w:p>
            <w:pPr>
              <w:keepNext w:val="0"/>
              <w:spacing w:line="240" w:lineRule="auto" w:after="0" w:before="0"/>
            </w:pPr>
            <w:r>
              <w:rPr>
                <w:rFonts w:ascii="Times New Roman" w:hAnsi="Times New Roman"/>
                <w:sz w:val="17"/>
              </w:rPr>
              <w:t>Saves tool-selection time; whole pipeline; real centres; flags cloud/FL support</w:t>
            </w:r>
          </w:p>
        </w:tc>
        <w:tc>
          <w:tcPr>
            <w:tcW w:type="dxa" w:w="1560"/>
            <w:vAlign w:val="top"/>
          </w:tcPr>
          <w:p>
            <w:pPr>
              <w:keepNext w:val="0"/>
              <w:spacing w:line="240" w:lineRule="auto" w:after="0" w:before="0"/>
            </w:pPr>
            <w:r>
              <w:rPr>
                <w:rFonts w:ascii="Times New Roman" w:hAnsi="Times New Roman"/>
                <w:sz w:val="17"/>
              </w:rPr>
              <w:t>Nothing measured; ~11% response; dates quickly; no pipeline design; no cost</w:t>
            </w:r>
          </w:p>
        </w:tc>
        <w:tc>
          <w:tcPr>
            <w:tcW w:type="dxa" w:w="1560"/>
            <w:vAlign w:val="top"/>
          </w:tcPr>
          <w:p>
            <w:pPr>
              <w:keepNext w:val="0"/>
              <w:spacing w:line="240" w:lineRule="auto" w:after="0" w:before="0"/>
            </w:pPr>
            <w:r>
              <w:rPr>
                <w:rFonts w:ascii="Times New Roman" w:hAnsi="Times New Roman"/>
                <w:sz w:val="17"/>
              </w:rPr>
              <w:t>Stops where storage begins; metadata produced during preparation is thrown away instead of reused</w:t>
            </w:r>
          </w:p>
        </w:tc>
        <w:tc>
          <w:tcPr>
            <w:tcW w:type="dxa" w:w="1560"/>
            <w:vAlign w:val="top"/>
          </w:tcPr>
          <w:p>
            <w:pPr>
              <w:keepNext w:val="0"/>
              <w:spacing w:line="240" w:lineRule="auto" w:after="0" w:before="0"/>
            </w:pPr>
            <w:r>
              <w:rPr>
                <w:rFonts w:ascii="Times New Roman" w:hAnsi="Times New Roman"/>
                <w:sz w:val="17"/>
              </w:rPr>
              <w:t>Chain tools automatically on AWS and keep modality, body part, size and quality as model features</w:t>
            </w:r>
          </w:p>
        </w:tc>
      </w:tr>
      <w:tr>
        <w:trPr>
          <w:cantSplit w:val="true"/>
        </w:trPr>
        <w:tc>
          <w:tcPr>
            <w:tcW w:type="dxa" w:w="1560"/>
            <w:vAlign w:val="top"/>
          </w:tcPr>
          <w:p>
            <w:pPr>
              <w:keepNext w:val="0"/>
              <w:spacing w:line="240" w:lineRule="auto" w:after="0" w:before="0"/>
            </w:pPr>
            <w:r>
              <w:rPr>
                <w:rFonts w:ascii="Times New Roman" w:hAnsi="Times New Roman"/>
                <w:sz w:val="17"/>
              </w:rPr>
              <w:t>P15</w:t>
            </w:r>
          </w:p>
        </w:tc>
        <w:tc>
          <w:tcPr>
            <w:tcW w:type="dxa" w:w="1560"/>
            <w:vAlign w:val="top"/>
          </w:tcPr>
          <w:p>
            <w:pPr>
              <w:keepNext w:val="0"/>
              <w:spacing w:line="240" w:lineRule="auto" w:after="0" w:before="0"/>
            </w:pPr>
            <w:r>
              <w:rPr>
                <w:rFonts w:ascii="Times New Roman" w:hAnsi="Times New Roman"/>
                <w:sz w:val="17"/>
              </w:rPr>
              <w:t>BVFLEMR: blockchain + vertical FL + LightGBM recommendation</w:t>
            </w:r>
          </w:p>
        </w:tc>
        <w:tc>
          <w:tcPr>
            <w:tcW w:type="dxa" w:w="1560"/>
            <w:vAlign w:val="top"/>
          </w:tcPr>
          <w:p>
            <w:pPr>
              <w:keepNext w:val="0"/>
              <w:spacing w:line="240" w:lineRule="auto" w:after="0" w:before="0"/>
            </w:pPr>
            <w:r>
              <w:rPr>
                <w:rFonts w:ascii="Times New Roman" w:hAnsi="Times New Roman"/>
                <w:sz w:val="17"/>
              </w:rPr>
              <w:t>Learning-based healthcare decision; LightGBM fast baseline; full audit; reports F1</w:t>
            </w:r>
          </w:p>
        </w:tc>
        <w:tc>
          <w:tcPr>
            <w:tcW w:type="dxa" w:w="1560"/>
            <w:vAlign w:val="top"/>
          </w:tcPr>
          <w:p>
            <w:pPr>
              <w:keepNext w:val="0"/>
              <w:spacing w:line="240" w:lineRule="auto" w:after="0" w:before="0"/>
            </w:pPr>
            <w:r>
              <w:rPr>
                <w:rFonts w:ascii="Times New Roman" w:hAnsi="Times New Roman"/>
                <w:sz w:val="17"/>
              </w:rPr>
              <w:t>Dataset unnamed; recall drops as data grows; blockchain cost unmeasured; text only; one storage setting</w:t>
            </w:r>
          </w:p>
        </w:tc>
        <w:tc>
          <w:tcPr>
            <w:tcW w:type="dxa" w:w="1560"/>
            <w:vAlign w:val="top"/>
          </w:tcPr>
          <w:p>
            <w:pPr>
              <w:keepNext w:val="0"/>
              <w:spacing w:line="240" w:lineRule="auto" w:after="0" w:before="0"/>
            </w:pPr>
            <w:r>
              <w:rPr>
                <w:rFonts w:ascii="Times New Roman" w:hAnsi="Times New Roman"/>
                <w:sz w:val="17"/>
              </w:rPr>
              <w:t>Intelligence sits in front of a storage layer with one setting; nothing predicts re-access, the one prediction that decides the bill</w:t>
            </w:r>
          </w:p>
        </w:tc>
        <w:tc>
          <w:tcPr>
            <w:tcW w:type="dxa" w:w="1560"/>
            <w:vAlign w:val="top"/>
          </w:tcPr>
          <w:p>
            <w:pPr>
              <w:keepNext w:val="0"/>
              <w:spacing w:line="240" w:lineRule="auto" w:after="0" w:before="0"/>
            </w:pPr>
            <w:r>
              <w:rPr>
                <w:rFonts w:ascii="Times New Roman" w:hAnsi="Times New Roman"/>
                <w:sz w:val="17"/>
              </w:rPr>
              <w:t>Predict per-scan re-access, choose an S3 class, keep only a hash in a ledger, report cost and restore time</w:t>
            </w:r>
          </w:p>
        </w:tc>
      </w:tr>
    </w:tbl>
    <w:p/>
    <w:p>
      <w:pPr>
        <w:pStyle w:val="Heading2"/>
      </w:pPr>
      <w:r>
        <w:rPr>
          <w:color w:val="000000"/>
        </w:rPr>
        <w:t>2 3 Consolidated Research Gap</w:t>
      </w:r>
    </w:p>
    <w:p>
      <w:pPr>
        <w:jc w:val="both"/>
      </w:pPr>
      <w:r>
        <w:rPr>
          <w:rFonts w:ascii="Times New Roman" w:hAnsi="Times New Roman"/>
          <w:b w:val="0"/>
        </w:rPr>
        <w:t>The retained review identifies a project opportunity at the intersection of medical archive context, explicit storage costs and auditable operations. The current implementation addresses a narrower and testable part of that opportunity: complete-study metadata, exact clinical linkage, inspectable pretrained MRI outputs and a cost comparison constrained by declared access needs. It does not establish a globally novel algorithm or show that tumour measurements predict access. Retrieval forecasting and cohort-level cost evaluation remain separate research questions.</w:t>
      </w:r>
    </w:p>
    <w:p>
      <w:pPr>
        <w:pStyle w:val="Heading1"/>
      </w:pPr>
      <w:r>
        <w:rPr>
          <w:color w:val="000000"/>
        </w:rPr>
        <w:t>3 Project Objectives</w:t>
      </w:r>
    </w:p>
    <w:p>
      <w:r>
        <w:rPr>
          <w:rFonts w:ascii="Times New Roman" w:hAnsi="Times New Roman"/>
          <w:b w:val="0"/>
        </w:rPr>
        <w:t>The following six objectives describe the current implementation. Completion is assessed through the code, automated checks and explicitly bounded evidence in Section 10.</w:t>
      </w:r>
    </w:p>
    <w:p>
      <w:pPr/>
      <w:r>
        <w:rPr>
          <w:rFonts w:ascii="Times New Roman" w:hAnsi="Times New Roman"/>
          <w:b w:val="0"/>
        </w:rPr>
        <w:t>Objective 1 Study import and integrity. Persist study and sequence membership, measured bytes, checksums and source declarations. Reject malformed files and inconsistent DICOM identities without leaving partial studies. Success criterion: corresponding import and integrity regression tests pass.</w:t>
      </w:r>
    </w:p>
    <w:p>
      <w:pPr/>
      <w:r>
        <w:rPr>
          <w:rFonts w:ascii="Times New Roman" w:hAnsi="Times New Roman"/>
          <w:b w:val="0"/>
        </w:rPr>
        <w:t>Objective 2 Clinical context and MRI inspection. Support exact clinical joins, missing or ambiguous states, real NIfTI slice previews and frozen four-sequence segmentation with input and checkpoint provenance. Success criterion: import and preview tests pass and synthetic adapter evidence records masks, volumes and runtime. Clinical accuracy is a separate future assessment.</w:t>
      </w:r>
    </w:p>
    <w:p>
      <w:pPr/>
      <w:r>
        <w:rPr>
          <w:rFonts w:ascii="Times New Roman" w:hAnsi="Times New Roman"/>
          <w:b w:val="0"/>
        </w:rPr>
        <w:t>Objective 3 Transparent storage policy. Compare four S3 classes using object-level storage, transition, retrieval, archive metadata and temporary-copy costs, after explicit access and completeness constraints. Success criterion: monetary components sum to each candidate total and guarded study cases remain in Standard.</w:t>
      </w:r>
    </w:p>
    <w:p>
      <w:pPr/>
      <w:r>
        <w:rPr>
          <w:rFonts w:ascii="Times New Roman" w:hAnsi="Times New Roman"/>
          <w:b w:val="0"/>
        </w:rPr>
        <w:t>Objective 4 Reviewed study operations. Record complete-bundle local placement and restore with optimistic version checks and append-only events. Success criterion: stale placement is rejected and the complete local bundle is available after simulated restore.</w:t>
      </w:r>
    </w:p>
    <w:p>
      <w:pPr/>
      <w:r>
        <w:rPr>
          <w:rFonts w:ascii="Times New Roman" w:hAnsi="Times New Roman"/>
          <w:b w:val="0"/>
        </w:rPr>
        <w:t>Objective 5 Cloud integration foundation. Retain the implemented v1 AWS handlers and SAM stack while separating the v2 local archive from unsupported cloud execution. Success criterion for current scope: cloud-handler tests pass and the v2 DynamoDB-mode gate is explicit. Live v2 deployment remains pending.</w:t>
      </w:r>
    </w:p>
    <w:p>
      <w:pPr/>
      <w:r>
        <w:rPr>
          <w:rFonts w:ascii="Times New Roman" w:hAnsi="Times New Roman"/>
          <w:b w:val="0"/>
        </w:rPr>
        <w:t>Objective 6 Usable archive workspace. Provide overview, study exploration, clinical and policy detail, MRI workbench, imports, quality queue, operations and cost comparison. Success criterion: production build passes; recorded browser and responsive checks support usability at desktop and phone widths.</w:t>
      </w:r>
    </w:p>
    <w:p>
      <w:pPr>
        <w:pStyle w:val="Heading2"/>
      </w:pPr>
      <w:r>
        <w:rPr>
          <w:color w:val="000000"/>
        </w:rPr>
        <w:t>3 1 Expected Outcomes</w:t>
      </w:r>
    </w:p>
    <w:p>
      <w:pPr>
        <w:jc w:val="both"/>
      </w:pPr>
      <w:r>
        <w:rPr>
          <w:rFonts w:ascii="Times New Roman" w:hAnsi="Times New Roman"/>
          <w:b w:val="0"/>
        </w:rPr>
        <w:t>Delivered outcomes are the local study archive, validated import and clinical linkage, MRI previews and pretrained inference adapter, explicit storage policy, audited local operations, redesigned interface, retained v1 AWS code and this report. Acceptance evidence comprises 28 automated tests rerun on 16 October 2026, the production frontend build, and the repository model compatibility record dated 11 October 2026. Real-data performance, observed S3 transitions and actual savings are not acceptance results of this local milestone.</w:t>
      </w:r>
    </w:p>
    <w:p>
      <w:pPr>
        <w:pStyle w:val="Heading1"/>
      </w:pPr>
      <w:r>
        <w:rPr>
          <w:color w:val="000000"/>
        </w:rPr>
        <w:t>4 Novelty Summary</w:t>
      </w:r>
    </w:p>
    <w:p>
      <w:r>
        <w:rPr>
          <w:rFonts w:ascii="Times New Roman" w:hAnsi="Times New Roman"/>
        </w:rPr>
        <w:t>Table 4 describes implemented integration choices and the evidence available for each. These are project contributions within the reviewed scope, rather than claims of a new segmentation model or validated clinical retrieval predictor.</w:t>
      </w:r>
    </w:p>
    <w:p>
      <w:pPr>
        <w:keepNext/>
        <w:spacing w:after="80"/>
      </w:pPr>
      <w:r>
        <w:rPr>
          <w:rFonts w:ascii="Times New Roman" w:hAnsi="Times New Roman"/>
          <w:b/>
          <w:sz w:val="21"/>
        </w:rPr>
        <w:t>Table 4. Novelty dimensions.</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350"/>
        <w:gridCol w:w="2700"/>
        <w:gridCol w:w="2600"/>
      </w:tblGrid>
      <w:tr>
        <w:trPr>
          <w:tblHeader w:val="true"/>
        </w:trPr>
        <w:tc>
          <w:tcPr>
            <w:tcW w:type="dxa" w:w="1700"/>
            <w:shd w:val="clear" w:color="auto" w:fill="D9EAF7"/>
            <w:vAlign w:val="center"/>
          </w:tcPr>
          <w:p>
            <w:pPr>
              <w:keepNext/>
              <w:spacing w:line="252" w:lineRule="auto" w:after="40" w:before="40"/>
            </w:pPr>
            <w:r>
              <w:rPr>
                <w:rFonts w:ascii="Times New Roman" w:hAnsi="Times New Roman"/>
                <w:b/>
                <w:sz w:val="18"/>
              </w:rPr>
              <w:t>Contribution</w:t>
            </w:r>
          </w:p>
        </w:tc>
        <w:tc>
          <w:tcPr>
            <w:tcW w:type="dxa" w:w="2350"/>
            <w:shd w:val="clear" w:color="auto" w:fill="D9EAF7"/>
            <w:vAlign w:val="center"/>
          </w:tcPr>
          <w:p>
            <w:pPr>
              <w:keepNext/>
              <w:spacing w:line="252" w:lineRule="auto" w:after="40" w:before="40"/>
            </w:pPr>
            <w:r>
              <w:rPr>
                <w:rFonts w:ascii="Times New Roman" w:hAnsi="Times New Roman"/>
                <w:b/>
                <w:sz w:val="18"/>
              </w:rPr>
              <w:t>Prior motivation</w:t>
            </w:r>
          </w:p>
        </w:tc>
        <w:tc>
          <w:tcPr>
            <w:tcW w:type="dxa" w:w="2700"/>
            <w:shd w:val="clear" w:color="auto" w:fill="D9EAF7"/>
            <w:vAlign w:val="center"/>
          </w:tcPr>
          <w:p>
            <w:pPr>
              <w:keepNext/>
              <w:spacing w:line="252" w:lineRule="auto" w:after="40" w:before="40"/>
            </w:pPr>
            <w:r>
              <w:rPr>
                <w:rFonts w:ascii="Times New Roman" w:hAnsi="Times New Roman"/>
                <w:b/>
                <w:sz w:val="18"/>
              </w:rPr>
              <w:t>Current implementation</w:t>
            </w:r>
          </w:p>
        </w:tc>
        <w:tc>
          <w:tcPr>
            <w:tcW w:type="dxa" w:w="2600"/>
            <w:shd w:val="clear" w:color="auto" w:fill="D9EAF7"/>
            <w:vAlign w:val="center"/>
          </w:tcPr>
          <w:p>
            <w:pPr>
              <w:keepNext/>
              <w:spacing w:line="252" w:lineRule="auto" w:after="40" w:before="40"/>
            </w:pPr>
            <w:r>
              <w:rPr>
                <w:rFonts w:ascii="Times New Roman" w:hAnsi="Times New Roman"/>
                <w:b/>
                <w:sz w:val="18"/>
              </w:rPr>
              <w:t>Evidence and boundary</w:t>
            </w:r>
          </w:p>
        </w:tc>
      </w:tr>
      <w:tr>
        <w:trPr>
          <w:cantSplit w:val="true"/>
        </w:trPr>
        <w:tc>
          <w:tcPr>
            <w:tcW w:type="dxa" w:w="1700"/>
            <w:vAlign w:val="top"/>
          </w:tcPr>
          <w:p>
            <w:pPr>
              <w:keepNext w:val="0"/>
              <w:spacing w:line="252" w:lineRule="auto" w:after="40" w:before="40"/>
            </w:pPr>
            <w:r>
              <w:rPr>
                <w:rFonts w:ascii="Times New Roman" w:hAnsi="Times New Roman"/>
                <w:b w:val="0"/>
                <w:sz w:val="18"/>
              </w:rPr>
              <w:t>Complete study context</w:t>
            </w:r>
          </w:p>
        </w:tc>
        <w:tc>
          <w:tcPr>
            <w:tcW w:type="dxa" w:w="2350"/>
            <w:vAlign w:val="top"/>
          </w:tcPr>
          <w:p>
            <w:pPr>
              <w:keepNext w:val="0"/>
              <w:spacing w:line="252" w:lineRule="auto" w:after="40" w:before="40"/>
            </w:pPr>
            <w:r>
              <w:rPr>
                <w:rFonts w:ascii="Times New Roman" w:hAnsi="Times New Roman"/>
                <w:b w:val="0"/>
                <w:sz w:val="18"/>
              </w:rPr>
              <w:t>Object-only placement can miss related members</w:t>
            </w:r>
          </w:p>
        </w:tc>
        <w:tc>
          <w:tcPr>
            <w:tcW w:type="dxa" w:w="2700"/>
            <w:vAlign w:val="top"/>
          </w:tcPr>
          <w:p>
            <w:pPr>
              <w:keepNext w:val="0"/>
              <w:spacing w:line="252" w:lineRule="auto" w:after="40" w:before="40"/>
            </w:pPr>
            <w:r>
              <w:rPr>
                <w:rFonts w:ascii="Times New Roman" w:hAnsi="Times New Roman"/>
                <w:b w:val="0"/>
                <w:sz w:val="18"/>
              </w:rPr>
              <w:t>Explicit MRI roles, clinical state and study-level operations</w:t>
            </w:r>
          </w:p>
        </w:tc>
        <w:tc>
          <w:tcPr>
            <w:tcW w:type="dxa" w:w="2600"/>
            <w:vAlign w:val="top"/>
          </w:tcPr>
          <w:p>
            <w:pPr>
              <w:keepNext w:val="0"/>
              <w:spacing w:line="252" w:lineRule="auto" w:after="40" w:before="40"/>
            </w:pPr>
            <w:r>
              <w:rPr>
                <w:rFonts w:ascii="Times New Roman" w:hAnsi="Times New Roman"/>
                <w:b w:val="0"/>
                <w:sz w:val="18"/>
              </w:rPr>
              <w:t>Import and bundle tests; no provider acquisition</w:t>
            </w:r>
          </w:p>
        </w:tc>
      </w:tr>
      <w:tr>
        <w:trPr>
          <w:cantSplit w:val="true"/>
        </w:trPr>
        <w:tc>
          <w:tcPr>
            <w:tcW w:type="dxa" w:w="1700"/>
            <w:vAlign w:val="top"/>
          </w:tcPr>
          <w:p>
            <w:pPr>
              <w:keepNext w:val="0"/>
              <w:spacing w:line="252" w:lineRule="auto" w:after="40" w:before="40"/>
            </w:pPr>
            <w:r>
              <w:rPr>
                <w:rFonts w:ascii="Times New Roman" w:hAnsi="Times New Roman"/>
                <w:b w:val="0"/>
                <w:sz w:val="18"/>
              </w:rPr>
              <w:t>Transparent eligibility</w:t>
            </w:r>
          </w:p>
        </w:tc>
        <w:tc>
          <w:tcPr>
            <w:tcW w:type="dxa" w:w="2350"/>
            <w:vAlign w:val="top"/>
          </w:tcPr>
          <w:p>
            <w:pPr>
              <w:keepNext w:val="0"/>
              <w:spacing w:line="252" w:lineRule="auto" w:after="40" w:before="40"/>
            </w:pPr>
            <w:r>
              <w:rPr>
                <w:rFonts w:ascii="Times New Roman" w:hAnsi="Times New Roman"/>
                <w:b w:val="0"/>
                <w:sz w:val="18"/>
              </w:rPr>
              <w:t>Cost alone can overlook access requirements</w:t>
            </w:r>
          </w:p>
        </w:tc>
        <w:tc>
          <w:tcPr>
            <w:tcW w:type="dxa" w:w="2700"/>
            <w:vAlign w:val="top"/>
          </w:tcPr>
          <w:p>
            <w:pPr>
              <w:keepNext w:val="0"/>
              <w:spacing w:line="252" w:lineRule="auto" w:after="40" w:before="40"/>
            </w:pPr>
            <w:r>
              <w:rPr>
                <w:rFonts w:ascii="Times New Roman" w:hAnsi="Times New Roman"/>
                <w:b w:val="0"/>
                <w:sz w:val="18"/>
              </w:rPr>
              <w:t>Holds, active use, access hours and completeness guards before cost selection</w:t>
            </w:r>
          </w:p>
        </w:tc>
        <w:tc>
          <w:tcPr>
            <w:tcW w:type="dxa" w:w="2600"/>
            <w:vAlign w:val="top"/>
          </w:tcPr>
          <w:p>
            <w:pPr>
              <w:keepNext w:val="0"/>
              <w:spacing w:line="252" w:lineRule="auto" w:after="40" w:before="40"/>
            </w:pPr>
            <w:r>
              <w:rPr>
                <w:rFonts w:ascii="Times New Roman" w:hAnsi="Times New Roman"/>
                <w:b w:val="0"/>
                <w:sz w:val="18"/>
              </w:rPr>
              <w:t>Guard tests; no clinical safety claim</w:t>
            </w:r>
          </w:p>
        </w:tc>
      </w:tr>
      <w:tr>
        <w:trPr>
          <w:cantSplit w:val="true"/>
        </w:trPr>
        <w:tc>
          <w:tcPr>
            <w:tcW w:type="dxa" w:w="1700"/>
            <w:vAlign w:val="top"/>
          </w:tcPr>
          <w:p>
            <w:pPr>
              <w:keepNext w:val="0"/>
              <w:spacing w:line="252" w:lineRule="auto" w:after="40" w:before="40"/>
            </w:pPr>
            <w:r>
              <w:rPr>
                <w:rFonts w:ascii="Times New Roman" w:hAnsi="Times New Roman"/>
                <w:b w:val="0"/>
                <w:sz w:val="18"/>
              </w:rPr>
              <w:t>Research MRI inspection</w:t>
            </w:r>
          </w:p>
        </w:tc>
        <w:tc>
          <w:tcPr>
            <w:tcW w:type="dxa" w:w="2350"/>
            <w:vAlign w:val="top"/>
          </w:tcPr>
          <w:p>
            <w:pPr>
              <w:keepNext w:val="0"/>
              <w:spacing w:line="252" w:lineRule="auto" w:after="40" w:before="40"/>
            </w:pPr>
            <w:r>
              <w:rPr>
                <w:rFonts w:ascii="Times New Roman" w:hAnsi="Times New Roman"/>
                <w:b w:val="0"/>
                <w:sz w:val="18"/>
              </w:rPr>
              <w:t>Medical archive platforms need analysis provenance</w:t>
            </w:r>
          </w:p>
        </w:tc>
        <w:tc>
          <w:tcPr>
            <w:tcW w:type="dxa" w:w="2700"/>
            <w:vAlign w:val="top"/>
          </w:tcPr>
          <w:p>
            <w:pPr>
              <w:keepNext w:val="0"/>
              <w:spacing w:line="252" w:lineRule="auto" w:after="40" w:before="40"/>
            </w:pPr>
            <w:r>
              <w:rPr>
                <w:rFonts w:ascii="Times New Roman" w:hAnsi="Times New Roman"/>
                <w:b w:val="0"/>
                <w:sz w:val="18"/>
              </w:rPr>
              <w:t>Frozen SegResNet masks, volumes and input/checkpoint hashes</w:t>
            </w:r>
          </w:p>
        </w:tc>
        <w:tc>
          <w:tcPr>
            <w:tcW w:type="dxa" w:w="2600"/>
            <w:vAlign w:val="top"/>
          </w:tcPr>
          <w:p>
            <w:pPr>
              <w:keepNext w:val="0"/>
              <w:spacing w:line="252" w:lineRule="auto" w:after="40" w:before="40"/>
            </w:pPr>
            <w:r>
              <w:rPr>
                <w:rFonts w:ascii="Times New Roman" w:hAnsi="Times New Roman"/>
                <w:b w:val="0"/>
                <w:sz w:val="18"/>
              </w:rPr>
              <w:t>Synthetic adapter record; cohort accuracy pending</w:t>
            </w:r>
          </w:p>
        </w:tc>
      </w:tr>
      <w:tr>
        <w:trPr>
          <w:cantSplit w:val="true"/>
        </w:trPr>
        <w:tc>
          <w:tcPr>
            <w:tcW w:type="dxa" w:w="1700"/>
            <w:vAlign w:val="top"/>
          </w:tcPr>
          <w:p>
            <w:pPr>
              <w:keepNext w:val="0"/>
              <w:spacing w:line="252" w:lineRule="auto" w:after="40" w:before="40"/>
            </w:pPr>
            <w:r>
              <w:rPr>
                <w:rFonts w:ascii="Times New Roman" w:hAnsi="Times New Roman"/>
                <w:b w:val="0"/>
                <w:sz w:val="18"/>
              </w:rPr>
              <w:t>Auditable operations</w:t>
            </w:r>
          </w:p>
        </w:tc>
        <w:tc>
          <w:tcPr>
            <w:tcW w:type="dxa" w:w="2350"/>
            <w:vAlign w:val="top"/>
          </w:tcPr>
          <w:p>
            <w:pPr>
              <w:keepNext w:val="0"/>
              <w:spacing w:line="252" w:lineRule="auto" w:after="40" w:before="40"/>
            </w:pPr>
            <w:r>
              <w:rPr>
                <w:rFonts w:ascii="Times New Roman" w:hAnsi="Times New Roman"/>
                <w:b w:val="0"/>
                <w:sz w:val="18"/>
              </w:rPr>
              <w:t>Asynchronous or stale updates can mislead users</w:t>
            </w:r>
          </w:p>
        </w:tc>
        <w:tc>
          <w:tcPr>
            <w:tcW w:type="dxa" w:w="2700"/>
            <w:vAlign w:val="top"/>
          </w:tcPr>
          <w:p>
            <w:pPr>
              <w:keepNext w:val="0"/>
              <w:spacing w:line="252" w:lineRule="auto" w:after="40" w:before="40"/>
            </w:pPr>
            <w:r>
              <w:rPr>
                <w:rFonts w:ascii="Times New Roman" w:hAnsi="Times New Roman"/>
                <w:b w:val="0"/>
                <w:sz w:val="18"/>
              </w:rPr>
              <w:t>Version checks, append-only local events, separate v1 AWS mechanism</w:t>
            </w:r>
          </w:p>
        </w:tc>
        <w:tc>
          <w:tcPr>
            <w:tcW w:type="dxa" w:w="2600"/>
            <w:vAlign w:val="top"/>
          </w:tcPr>
          <w:p>
            <w:pPr>
              <w:keepNext w:val="0"/>
              <w:spacing w:line="252" w:lineRule="auto" w:after="40" w:before="40"/>
            </w:pPr>
            <w:r>
              <w:rPr>
                <w:rFonts w:ascii="Times New Roman" w:hAnsi="Times New Roman"/>
                <w:b w:val="0"/>
                <w:sz w:val="18"/>
              </w:rPr>
              <w:t>Regression tests; v2 cloud execution pending</w:t>
            </w:r>
          </w:p>
        </w:tc>
      </w:tr>
    </w:tbl>
    <w:p/>
    <w:p>
      <w:pPr>
        <w:jc w:val="both"/>
      </w:pPr>
      <w:r>
        <w:rPr>
          <w:rFonts w:ascii="Times New Roman" w:hAnsi="Times New Roman"/>
          <w:b w:val="0"/>
        </w:rPr>
        <w:t>The contribution is a reviewable study archive linking MRI sequence sets, clinical identifiers, pretrained analysis provenance and access-constrained cost recommendations. Published weights run without local training. V2 placement and restore are local simulations.</w:t>
      </w:r>
    </w:p>
    <w:p>
      <w:pPr>
        <w:pStyle w:val="Heading1"/>
      </w:pPr>
      <w:r>
        <w:rPr>
          <w:color w:val="000000"/>
        </w:rPr>
        <w:t>5 System and Architecture</w:t>
      </w:r>
    </w:p>
    <w:p>
      <w:pPr>
        <w:pStyle w:val="Heading2"/>
      </w:pPr>
      <w:r>
        <w:rPr>
          <w:color w:val="000000"/>
        </w:rPr>
        <w:t>5 1 System Overview</w:t>
      </w:r>
    </w:p>
    <w:p>
      <w:pPr>
        <w:jc w:val="left"/>
        <w:sectPr>
          <w:footerReference w:type="default" r:id="rId9"/>
          <w:pgSz w:w="12240" w:h="15840"/>
          <w:pgMar w:top="1440" w:right="1440" w:bottom="1440" w:left="1440" w:header="720" w:footer="720" w:gutter="0"/>
          <w:cols w:space="720"/>
          <w:docGrid w:linePitch="360"/>
        </w:sectPr>
      </w:pPr>
      <w:r>
        <w:rPr>
          <w:rFonts w:ascii="Times New Roman" w:hAnsi="Times New Roman"/>
          <w:b w:val="0"/>
        </w:rPr>
        <w:t>React/Vite and Flask/SQLite serve archive administrators, researchers and operators. Validated local imports create persistent study/object records. NIfTI previews and frozen SegResNet support inspection. The study-policy-v2.1 function returns eligible-class costs and a reason. Reviewed local placement and restore append audit events. The retained v1 AWS path is shown separately in Figure 1.</w:t>
      </w:r>
    </w:p>
    <w:p>
      <w:pPr>
        <w:pStyle w:val="Heading2"/>
      </w:pPr>
      <w:r>
        <w:rPr>
          <w:color w:val="000000"/>
        </w:rPr>
        <w:t>5 2 Retained AWS Architecture and Current Boundary</w:t>
      </w:r>
    </w:p>
    <w:p>
      <w:pPr>
        <w:keepNext/>
        <w:jc w:val="center"/>
      </w:pPr>
      <w:r>
        <w:drawing>
          <wp:inline xmlns:a="http://schemas.openxmlformats.org/drawingml/2006/main" xmlns:pic="http://schemas.openxmlformats.org/drawingml/2006/picture">
            <wp:extent cx="8138160" cy="4835024"/>
            <wp:docPr id="1" name="Picture 1"/>
            <wp:cNvGraphicFramePr>
              <a:graphicFrameLocks noChangeAspect="1"/>
            </wp:cNvGraphicFramePr>
            <a:graphic>
              <a:graphicData uri="http://schemas.openxmlformats.org/drawingml/2006/picture">
                <pic:pic>
                  <pic:nvPicPr>
                    <pic:cNvPr id="0" name="fig1_aws.png"/>
                    <pic:cNvPicPr/>
                  </pic:nvPicPr>
                  <pic:blipFill>
                    <a:blip r:embed="rId10"/>
                    <a:stretch>
                      <a:fillRect/>
                    </a:stretch>
                  </pic:blipFill>
                  <pic:spPr>
                    <a:xfrm>
                      <a:off x="0" y="0"/>
                      <a:ext cx="8138160" cy="4835024"/>
                    </a:xfrm>
                    <a:prstGeom prst="rect"/>
                  </pic:spPr>
                </pic:pic>
              </a:graphicData>
            </a:graphic>
          </wp:inline>
        </w:drawing>
      </w:r>
    </w:p>
    <w:p>
      <w:pPr>
        <w:jc w:val="center"/>
        <w:sectPr>
          <w:footerReference w:type="default" r:id="rId9"/>
          <w:pgSz w:w="15840" w:h="12240" w:orient="landscape"/>
          <w:pgMar w:top="1440" w:right="1440" w:bottom="1440" w:left="1440" w:header="720" w:footer="720" w:gutter="0"/>
          <w:cols w:space="720"/>
          <w:docGrid w:linePitch="360"/>
        </w:sectPr>
      </w:pPr>
      <w:r>
        <w:rPr>
          <w:rFonts w:ascii="Times New Roman" w:hAnsi="Times New Roman"/>
          <w:i/>
          <w:sz w:val="21"/>
        </w:rPr>
        <w:t>Figure 1. Implemented v1 AWS design and the separate v2 local archive. AWS resources are defined in code; live deployment and v2 study execution are pending.</w:t>
      </w:r>
    </w:p>
    <w:p>
      <w:r>
        <w:rPr>
          <w:rFonts w:ascii="Times New Roman" w:hAnsi="Times New Roman"/>
          <w:b w:val="0"/>
        </w:rPr>
        <w:t>The cloud resources below describe the retained v1 scan implementation in aws/template.yaml. They do not provide an operational cloud backend for the current study archive.</w:t>
      </w:r>
    </w:p>
    <w:p>
      <w:pPr>
        <w:pStyle w:val="ListBullet"/>
      </w:pPr>
      <w:r>
        <w:rPr>
          <w:rFonts w:ascii="Times New Roman" w:hAnsi="Times New Roman"/>
          <w:b w:val="0"/>
        </w:rPr>
        <w:t>Presentation. CloudFront with Origin Access Control serves a private S3 frontend build over HTTPS.</w:t>
      </w:r>
    </w:p>
    <w:p>
      <w:pPr>
        <w:pStyle w:val="ListBullet"/>
      </w:pPr>
      <w:r>
        <w:rPr>
          <w:rFonts w:ascii="Times New Roman" w:hAnsi="Times New Roman"/>
          <w:b w:val="0"/>
        </w:rPr>
        <w:t>Authentication. Cognito and API Gateway authorizers protect the v1 cloud API. Handler group checks distinguish viewer, archive-admin and operator mutations. The current local workspace uses demonstration authentication.</w:t>
      </w:r>
    </w:p>
    <w:p>
      <w:pPr>
        <w:pStyle w:val="ListBullet"/>
      </w:pPr>
      <w:r>
        <w:rPr>
          <w:rFonts w:ascii="Times New Roman" w:hAnsi="Times New Roman"/>
          <w:b w:val="0"/>
        </w:rPr>
        <w:t>API operations. The v1 cloud handler implements DynamoDB scan state and audit records, S3 tags, restore requests and warmer-class copy operations. These are code paths tested with mocked AWS calls.</w:t>
      </w:r>
    </w:p>
    <w:p>
      <w:pPr>
        <w:pStyle w:val="ListBullet"/>
      </w:pPr>
      <w:r>
        <w:rPr>
          <w:rFonts w:ascii="Times New Roman" w:hAnsi="Times New Roman"/>
          <w:b w:val="0"/>
        </w:rPr>
        <w:t>Ingestion. The retained X-ray workflow extracts published TorchXRayVision scores offline and registers features before uploading an image. This is separate from the v2 DICOM/NIfTI multipart import.</w:t>
      </w:r>
    </w:p>
    <w:p>
      <w:pPr>
        <w:pStyle w:val="ListBullet"/>
      </w:pPr>
      <w:r>
        <w:rPr>
          <w:rFonts w:ascii="Times New Roman" w:hAnsi="Times New Roman"/>
          <w:b w:val="0"/>
        </w:rPr>
        <w:t>Placement. The v1 S3-event handler applies the shared legacy decision engine, preserves existing tags and records pending state. Missing features leave the object in Standard.</w:t>
      </w:r>
    </w:p>
    <w:p>
      <w:pPr>
        <w:pStyle w:val="ListBullet"/>
      </w:pPr>
      <w:r>
        <w:rPr>
          <w:rFonts w:ascii="Times New Roman" w:hAnsi="Times New Roman"/>
          <w:b w:val="0"/>
        </w:rPr>
        <w:t>Lifecycle. The template defines tag-filtered S3 transitions. A tag request is not evidence that a transition has happened; actual changes require a deployed account and later reconciliation.</w:t>
      </w:r>
    </w:p>
    <w:p>
      <w:pPr>
        <w:pStyle w:val="ListBullet"/>
      </w:pPr>
      <w:r>
        <w:rPr>
          <w:rFonts w:ascii="Times New Roman" w:hAnsi="Times New Roman"/>
          <w:b w:val="0"/>
        </w:rPr>
        <w:t>Reconciliation. The retained EventBridge schedule invokes the v1 handler to inspect observed class and restore headers and update records.</w:t>
      </w:r>
    </w:p>
    <w:p>
      <w:pPr>
        <w:pStyle w:val="ListBullet"/>
      </w:pPr>
      <w:r>
        <w:rPr>
          <w:rFonts w:ascii="Times New Roman" w:hAnsi="Times New Roman"/>
          <w:b w:val="0"/>
        </w:rPr>
        <w:t>Notifications. The configured EventBridge restore-completed path publishes to SNS. Delivery has not been demonstrated in a deployed account.</w:t>
      </w:r>
    </w:p>
    <w:p>
      <w:pPr>
        <w:pStyle w:val="ListBullet"/>
        <w:sectPr>
          <w:footerReference w:type="default" r:id="rId9"/>
          <w:pgSz w:w="12240" w:h="15840"/>
          <w:pgMar w:top="1440" w:right="1440" w:bottom="1440" w:left="1440" w:header="720" w:footer="720" w:gutter="0"/>
          <w:cols w:space="720"/>
          <w:docGrid w:linePitch="360"/>
        </w:sectPr>
      </w:pPr>
      <w:r>
        <w:rPr>
          <w:rFonts w:ascii="Times New Roman" w:hAnsi="Times New Roman"/>
          <w:b w:val="0"/>
        </w:rPr>
        <w:t>Infrastructure boundary. The SAM stack defines private encrypted buckets, role-based access and managed services. V2 archive APIs return HTTP 501 in DynamoDB mode. Study-bundle cloud persistence, placement, restore and member-level reconciliation remain to be implemented.</w:t>
      </w:r>
    </w:p>
    <w:p>
      <w:pPr>
        <w:pStyle w:val="Heading2"/>
      </w:pPr>
      <w:r>
        <w:rPr>
          <w:color w:val="000000"/>
        </w:rPr>
        <w:t>5 3 Current Study Archive Architecture</w:t>
      </w:r>
    </w:p>
    <w:p>
      <w:pPr>
        <w:keepNext/>
        <w:jc w:val="center"/>
      </w:pPr>
      <w:r>
        <w:drawing>
          <wp:inline xmlns:a="http://schemas.openxmlformats.org/drawingml/2006/main" xmlns:pic="http://schemas.openxmlformats.org/drawingml/2006/picture">
            <wp:extent cx="8138160" cy="4595667"/>
            <wp:docPr id="2" name="Picture 2"/>
            <wp:cNvGraphicFramePr>
              <a:graphicFrameLocks noChangeAspect="1"/>
            </wp:cNvGraphicFramePr>
            <a:graphic>
              <a:graphicData uri="http://schemas.openxmlformats.org/drawingml/2006/picture">
                <pic:pic>
                  <pic:nvPicPr>
                    <pic:cNvPr id="0" name="fig2_system.png"/>
                    <pic:cNvPicPr/>
                  </pic:nvPicPr>
                  <pic:blipFill>
                    <a:blip r:embed="rId11"/>
                    <a:stretch>
                      <a:fillRect/>
                    </a:stretch>
                  </pic:blipFill>
                  <pic:spPr>
                    <a:xfrm>
                      <a:off x="0" y="0"/>
                      <a:ext cx="8138160" cy="4595667"/>
                    </a:xfrm>
                    <a:prstGeom prst="rect"/>
                  </pic:spPr>
                </pic:pic>
              </a:graphicData>
            </a:graphic>
          </wp:inline>
        </w:drawing>
      </w:r>
    </w:p>
    <w:p>
      <w:pPr>
        <w:jc w:val="center"/>
        <w:sectPr>
          <w:footerReference w:type="default" r:id="rId9"/>
          <w:pgSz w:w="15840" w:h="12240" w:orient="landscape"/>
          <w:pgMar w:top="1440" w:right="1440" w:bottom="1440" w:left="1440" w:header="720" w:footer="720" w:gutter="0"/>
          <w:cols w:space="720"/>
          <w:docGrid w:linePitch="360"/>
        </w:sectPr>
      </w:pPr>
      <w:r>
        <w:rPr>
          <w:rFonts w:ascii="Times New Roman" w:hAnsi="Times New Roman"/>
          <w:i/>
          <w:sz w:val="21"/>
        </w:rPr>
        <w:t>Figure 2. Current local study workflow. MRI outputs support inspection; declared access requirements and completeness constrain storage recommendations.</w:t>
      </w:r>
    </w:p>
    <w:p>
      <w:pPr>
        <w:jc w:val="both"/>
      </w:pPr>
      <w:r>
        <w:rPr>
          <w:rFonts w:ascii="Times New Roman" w:hAnsi="Times New Roman"/>
          <w:b w:val="0"/>
        </w:rPr>
        <w:t>Import assigns T1, T1ce, T2 and FLAIR roles, validates files and records checksums and bytes. DICOM headers are checked against subject and study identifiers; exact clinical CSV matching yields verified, ambiguous or unmatched linkage. For inference, the adapter orders channels as T1ce, T1, T2 and FLAIR and requires matching shape/affine, 1 mm spacing and operator-attested alignment and brain extraction. SegResNet returns TC, WT and ET masks, nested ET within TC within WT, plus mL measurements and provenance. Independently, the policy uses holds, active-use flags, declared access hours, completeness, clinical status, analysis state and object size to determine eligible tiers, then chooses the lowest modeled monetary total.</w:t>
      </w:r>
    </w:p>
    <w:p>
      <w:pPr>
        <w:pStyle w:val="Heading2"/>
      </w:pPr>
      <w:r>
        <w:rPr>
          <w:color w:val="000000"/>
        </w:rPr>
        <w:t>5 4 Workflow Use Cases</w:t>
      </w:r>
    </w:p>
    <w:p>
      <w:r>
        <w:rPr>
          <w:rFonts w:ascii="Times New Roman" w:hAnsi="Times New Roman"/>
          <w:b w:val="0"/>
        </w:rPr>
        <w:t>The current local workflow has the following main use cases.</w:t>
      </w:r>
    </w:p>
    <w:p>
      <w:pPr/>
      <w:r>
        <w:rPr>
          <w:rFonts w:ascii="Times New Roman" w:hAnsi="Times New Roman"/>
          <w:b w:val="0"/>
        </w:rPr>
        <w:t>UC1 Import study. Declare collection, subject and permission; upload imaging with explicit sequence roles and optional clinical CSV. Parsed files become one persistent study. Invalid uploads are rejected and cleaned up.</w:t>
      </w:r>
    </w:p>
    <w:p>
      <w:pPr/>
      <w:r>
        <w:rPr>
          <w:rFonts w:ascii="Times New Roman" w:hAnsi="Times New Roman"/>
          <w:b w:val="0"/>
        </w:rPr>
        <w:t>UC2 Inspect study. Use the explorer and clinical, metadata and policy tabs. NIfTI files provide axial, coronal and sagittal previews. Synthetic sample records contain no pixels and show no invented analysis.</w:t>
      </w:r>
    </w:p>
    <w:p>
      <w:pPr/>
      <w:r>
        <w:rPr>
          <w:rFonts w:ascii="Times New Roman" w:hAnsi="Times New Roman"/>
          <w:b w:val="0"/>
        </w:rPr>
        <w:t>UC3 Run MRI analysis. Download the pinned checkpoint, import four preprocessed NIfTI volumes, attest preprocessing and start the local worker. Inspect status, overlays, volumes, input hashes and model provenance after successful completion.</w:t>
      </w:r>
    </w:p>
    <w:p>
      <w:pPr/>
      <w:r>
        <w:rPr>
          <w:rFonts w:ascii="Times New Roman" w:hAnsi="Times New Roman"/>
          <w:b w:val="0"/>
        </w:rPr>
        <w:t>UC4 Review storage. Set access tolerance, active use and hold flags with a reason; recompute policy; request version-checked local placement. Restore records complete-bundle availability in the local simulation.</w:t>
      </w:r>
    </w:p>
    <w:p>
      <w:pPr/>
      <w:r>
        <w:rPr>
          <w:rFonts w:ascii="Times New Roman" w:hAnsi="Times New Roman"/>
          <w:b w:val="0"/>
        </w:rPr>
        <w:t>UC5 Review archive cost and quality. Compare All Standard, Age-based, Current placement and Study policy under the same horizon and declared workload. Review missing sequences, clinical-linkage issues, holds and failed analyses.</w:t>
      </w:r>
    </w:p>
    <w:p>
      <w:pPr>
        <w:pStyle w:val="Heading2"/>
      </w:pPr>
      <w:r>
        <w:rPr>
          <w:color w:val="000000"/>
        </w:rPr>
        <w:t>5 5 Security Availability and Scalability Design</w:t>
      </w:r>
    </w:p>
    <w:p>
      <w:pPr>
        <w:jc w:val="both"/>
      </w:pPr>
      <w:r>
        <w:rPr>
          <w:rFonts w:ascii="Times New Roman" w:hAnsi="Times New Roman"/>
          <w:b w:val="0"/>
        </w:rPr>
        <w:t>The current local archive persists SQLite study records and append-only application events. Mutations use study versions to reject stale actions; worker completion merges results without overwriting newer access settings. Startup marks interrupted analyses as failed. File hashes and model hashes support integrity and reproducibility. Clinical imports retain allowlisted fields; raw files remain local and are not automatically de-identified. The local authentication path is a demonstration identity, and server-side archive role enforcement is not claimed. The retained AWS design adds Cognito, IAM roles, private buckets, encryption, versioning and DynamoDB recovery; it still needs deployment evidence. Large-archive pagination, robust queued workers, governance and production monitoring remain future work.</w:t>
      </w:r>
    </w:p>
    <w:p>
      <w:pPr>
        <w:pStyle w:val="Heading1"/>
      </w:pPr>
      <w:r>
        <w:rPr>
          <w:color w:val="000000"/>
        </w:rPr>
        <w:t>6 Dataset and Input Description</w:t>
      </w:r>
    </w:p>
    <w:p>
      <w:r>
        <w:rPr>
          <w:rFonts w:ascii="Times New Roman" w:hAnsi="Times New Roman"/>
          <w:b w:val="0"/>
        </w:rPr>
        <w:t>Current runtime inputs are permitted local DICOM or NIfTI files and optional clinical CSV records. TCIA collections and BraTS-compatible MRI are the target research context, but no real patient cohort was acquired in this implementation. The sample cohort and model compatibility inputs are synthetic. NIH ChestX-ray14 belongs to the retained earlier X-ray evaluation direction.</w:t>
      </w:r>
    </w:p>
    <w:p>
      <w:pPr>
        <w:keepNext/>
        <w:spacing w:after="80"/>
      </w:pPr>
      <w:r>
        <w:rPr>
          <w:rFonts w:ascii="Times New Roman" w:hAnsi="Times New Roman"/>
          <w:b/>
          <w:sz w:val="21"/>
        </w:rPr>
        <w:t>Table 5. Dataset details.</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0"/>
        <w:gridCol w:w="6650"/>
      </w:tblGrid>
      <w:tr>
        <w:trPr>
          <w:tblHeader w:val="true"/>
        </w:trPr>
        <w:tc>
          <w:tcPr>
            <w:tcW w:type="dxa" w:w="2700"/>
            <w:shd w:val="clear" w:color="auto" w:fill="D9EAF7"/>
            <w:vAlign w:val="center"/>
          </w:tcPr>
          <w:p>
            <w:pPr>
              <w:keepNext/>
              <w:spacing w:line="252" w:lineRule="auto" w:after="40" w:before="40"/>
            </w:pPr>
            <w:r>
              <w:rPr>
                <w:rFonts w:ascii="Times New Roman" w:hAnsi="Times New Roman"/>
                <w:b/>
                <w:sz w:val="18"/>
              </w:rPr>
              <w:t>Input attribute</w:t>
            </w:r>
          </w:p>
        </w:tc>
        <w:tc>
          <w:tcPr>
            <w:tcW w:type="dxa" w:w="6650"/>
            <w:shd w:val="clear" w:color="auto" w:fill="D9EAF7"/>
            <w:vAlign w:val="center"/>
          </w:tcPr>
          <w:p>
            <w:pPr>
              <w:keepNext/>
              <w:spacing w:line="252" w:lineRule="auto" w:after="40" w:before="40"/>
            </w:pPr>
            <w:r>
              <w:rPr>
                <w:rFonts w:ascii="Times New Roman" w:hAnsi="Times New Roman"/>
                <w:b/>
                <w:sz w:val="18"/>
              </w:rPr>
              <w:t>Current implementation and evidence</w:t>
            </w:r>
          </w:p>
        </w:tc>
      </w:tr>
      <w:tr>
        <w:trPr>
          <w:cantSplit w:val="true"/>
        </w:trPr>
        <w:tc>
          <w:tcPr>
            <w:tcW w:type="dxa" w:w="2700"/>
            <w:vAlign w:val="top"/>
          </w:tcPr>
          <w:p>
            <w:pPr>
              <w:keepNext w:val="0"/>
              <w:spacing w:line="252" w:lineRule="auto" w:after="40" w:before="40"/>
            </w:pPr>
            <w:r>
              <w:rPr>
                <w:rFonts w:ascii="Times New Roman" w:hAnsi="Times New Roman"/>
                <w:b w:val="0"/>
                <w:sz w:val="18"/>
              </w:rPr>
              <w:t>Target domain</w:t>
            </w:r>
          </w:p>
        </w:tc>
        <w:tc>
          <w:tcPr>
            <w:tcW w:type="dxa" w:w="6650"/>
            <w:vAlign w:val="top"/>
          </w:tcPr>
          <w:p>
            <w:pPr>
              <w:keepNext w:val="0"/>
              <w:spacing w:line="252" w:lineRule="auto" w:after="40" w:before="40"/>
            </w:pPr>
            <w:r>
              <w:rPr>
                <w:rFonts w:ascii="Times New Roman" w:hAnsi="Times New Roman"/>
                <w:b w:val="0"/>
                <w:sz w:val="18"/>
              </w:rPr>
              <w:t>Cancer imaging studies with complete T1, T1ce, T2 and FLAIR MRI sequence sets.</w:t>
            </w:r>
          </w:p>
        </w:tc>
      </w:tr>
      <w:tr>
        <w:trPr>
          <w:cantSplit w:val="true"/>
        </w:trPr>
        <w:tc>
          <w:tcPr>
            <w:tcW w:type="dxa" w:w="2700"/>
            <w:vAlign w:val="top"/>
          </w:tcPr>
          <w:p>
            <w:pPr>
              <w:keepNext w:val="0"/>
              <w:spacing w:line="252" w:lineRule="auto" w:after="40" w:before="40"/>
            </w:pPr>
            <w:r>
              <w:rPr>
                <w:rFonts w:ascii="Times New Roman" w:hAnsi="Times New Roman"/>
                <w:b w:val="0"/>
                <w:sz w:val="18"/>
              </w:rPr>
              <w:t>Target sources</w:t>
            </w:r>
          </w:p>
        </w:tc>
        <w:tc>
          <w:tcPr>
            <w:tcW w:type="dxa" w:w="6650"/>
            <w:vAlign w:val="top"/>
          </w:tcPr>
          <w:p>
            <w:pPr>
              <w:keepNext w:val="0"/>
              <w:spacing w:line="252" w:lineRule="auto" w:after="40" w:before="40"/>
            </w:pPr>
            <w:r>
              <w:rPr>
                <w:rFonts w:ascii="Times New Roman" w:hAnsi="Times New Roman"/>
                <w:b w:val="0"/>
                <w:sz w:val="18"/>
              </w:rPr>
              <w:t>Permitted TCIA/other research collections and BraTS-compatible prepared MRI. No real cohort was downloaded for this milestone.</w:t>
            </w:r>
          </w:p>
        </w:tc>
      </w:tr>
      <w:tr>
        <w:trPr>
          <w:cantSplit w:val="true"/>
        </w:trPr>
        <w:tc>
          <w:tcPr>
            <w:tcW w:type="dxa" w:w="2700"/>
            <w:vAlign w:val="top"/>
          </w:tcPr>
          <w:p>
            <w:pPr>
              <w:keepNext w:val="0"/>
              <w:spacing w:line="252" w:lineRule="auto" w:after="40" w:before="40"/>
            </w:pPr>
            <w:r>
              <w:rPr>
                <w:rFonts w:ascii="Times New Roman" w:hAnsi="Times New Roman"/>
                <w:b w:val="0"/>
                <w:sz w:val="18"/>
              </w:rPr>
              <w:t>Accepted files</w:t>
            </w:r>
          </w:p>
        </w:tc>
        <w:tc>
          <w:tcPr>
            <w:tcW w:type="dxa" w:w="6650"/>
            <w:vAlign w:val="top"/>
          </w:tcPr>
          <w:p>
            <w:pPr>
              <w:keepNext w:val="0"/>
              <w:spacing w:line="252" w:lineRule="auto" w:after="40" w:before="40"/>
            </w:pPr>
            <w:r>
              <w:rPr>
                <w:rFonts w:ascii="Times New Roman" w:hAnsi="Times New Roman"/>
                <w:b w:val="0"/>
                <w:sz w:val="18"/>
              </w:rPr>
              <w:t>NIfTI .nii/.nii.gz and DICOM .dcm; optional UTF-8 clinical CSV. Local upload, not an automated provider download.</w:t>
            </w:r>
          </w:p>
        </w:tc>
      </w:tr>
      <w:tr>
        <w:trPr>
          <w:cantSplit w:val="true"/>
        </w:trPr>
        <w:tc>
          <w:tcPr>
            <w:tcW w:type="dxa" w:w="2700"/>
            <w:vAlign w:val="top"/>
          </w:tcPr>
          <w:p>
            <w:pPr>
              <w:keepNext w:val="0"/>
              <w:spacing w:line="252" w:lineRule="auto" w:after="40" w:before="40"/>
            </w:pPr>
            <w:r>
              <w:rPr>
                <w:rFonts w:ascii="Times New Roman" w:hAnsi="Times New Roman"/>
                <w:b w:val="0"/>
                <w:sz w:val="18"/>
              </w:rPr>
              <w:t>Current cohort</w:t>
            </w:r>
          </w:p>
        </w:tc>
        <w:tc>
          <w:tcPr>
            <w:tcW w:type="dxa" w:w="6650"/>
            <w:vAlign w:val="top"/>
          </w:tcPr>
          <w:p>
            <w:pPr>
              <w:keepNext w:val="0"/>
              <w:spacing w:line="252" w:lineRule="auto" w:after="40" w:before="40"/>
            </w:pPr>
            <w:r>
              <w:rPr>
                <w:rFonts w:ascii="Times New Roman" w:hAnsi="Times New Roman"/>
                <w:b w:val="0"/>
                <w:sz w:val="18"/>
              </w:rPr>
              <w:t>Explicit sample import: 12 synthetic study records, 46 objects, no image pixels or fabricated inference.</w:t>
            </w:r>
          </w:p>
        </w:tc>
      </w:tr>
      <w:tr>
        <w:trPr>
          <w:cantSplit w:val="true"/>
        </w:trPr>
        <w:tc>
          <w:tcPr>
            <w:tcW w:type="dxa" w:w="2700"/>
            <w:vAlign w:val="top"/>
          </w:tcPr>
          <w:p>
            <w:pPr>
              <w:keepNext w:val="0"/>
              <w:spacing w:line="252" w:lineRule="auto" w:after="40" w:before="40"/>
            </w:pPr>
            <w:r>
              <w:rPr>
                <w:rFonts w:ascii="Times New Roman" w:hAnsi="Times New Roman"/>
                <w:b w:val="0"/>
                <w:sz w:val="18"/>
              </w:rPr>
              <w:t>Declared sample size</w:t>
            </w:r>
          </w:p>
        </w:tc>
        <w:tc>
          <w:tcPr>
            <w:tcW w:type="dxa" w:w="6650"/>
            <w:vAlign w:val="top"/>
          </w:tcPr>
          <w:p>
            <w:pPr>
              <w:keepNext w:val="0"/>
              <w:spacing w:line="252" w:lineRule="auto" w:after="40" w:before="40"/>
            </w:pPr>
            <w:r>
              <w:rPr>
                <w:rFonts w:ascii="Times New Roman" w:hAnsi="Times New Roman"/>
                <w:b w:val="0"/>
                <w:sz w:val="18"/>
              </w:rPr>
              <w:t>2,540,699,648 bytes in metadata. Ten complete studies and eleven synthetically verified clinical records. These are not measured real dataset counts.</w:t>
            </w:r>
          </w:p>
        </w:tc>
      </w:tr>
      <w:tr>
        <w:trPr>
          <w:cantSplit w:val="true"/>
        </w:trPr>
        <w:tc>
          <w:tcPr>
            <w:tcW w:type="dxa" w:w="2700"/>
            <w:vAlign w:val="top"/>
          </w:tcPr>
          <w:p>
            <w:pPr>
              <w:keepNext w:val="0"/>
              <w:spacing w:line="252" w:lineRule="auto" w:after="40" w:before="40"/>
            </w:pPr>
            <w:r>
              <w:rPr>
                <w:rFonts w:ascii="Times New Roman" w:hAnsi="Times New Roman"/>
                <w:b w:val="0"/>
                <w:sz w:val="18"/>
              </w:rPr>
              <w:t>Imported file evidence</w:t>
            </w:r>
          </w:p>
        </w:tc>
        <w:tc>
          <w:tcPr>
            <w:tcW w:type="dxa" w:w="6650"/>
            <w:vAlign w:val="top"/>
          </w:tcPr>
          <w:p>
            <w:pPr>
              <w:keepNext w:val="0"/>
              <w:spacing w:line="252" w:lineRule="auto" w:after="40" w:before="40"/>
            </w:pPr>
            <w:r>
              <w:rPr>
                <w:rFonts w:ascii="Times New Roman" w:hAnsi="Times New Roman"/>
                <w:b w:val="0"/>
                <w:sz w:val="18"/>
              </w:rPr>
              <w:t>File bytes and SHA-256 measured at import; source subject, collection and permission/license are required.</w:t>
            </w:r>
          </w:p>
        </w:tc>
      </w:tr>
      <w:tr>
        <w:trPr>
          <w:cantSplit w:val="true"/>
        </w:trPr>
        <w:tc>
          <w:tcPr>
            <w:tcW w:type="dxa" w:w="2700"/>
            <w:vAlign w:val="top"/>
          </w:tcPr>
          <w:p>
            <w:pPr>
              <w:keepNext w:val="0"/>
              <w:spacing w:line="252" w:lineRule="auto" w:after="40" w:before="40"/>
            </w:pPr>
            <w:r>
              <w:rPr>
                <w:rFonts w:ascii="Times New Roman" w:hAnsi="Times New Roman"/>
                <w:b w:val="0"/>
                <w:sz w:val="18"/>
              </w:rPr>
              <w:t>Clinical attributes</w:t>
            </w:r>
          </w:p>
        </w:tc>
        <w:tc>
          <w:tcPr>
            <w:tcW w:type="dxa" w:w="6650"/>
            <w:vAlign w:val="top"/>
          </w:tcPr>
          <w:p>
            <w:pPr>
              <w:keepNext w:val="0"/>
              <w:spacing w:line="252" w:lineRule="auto" w:after="40" w:before="40"/>
            </w:pPr>
            <w:r>
              <w:rPr>
                <w:rFonts w:ascii="Times New Roman" w:hAnsi="Times New Roman"/>
                <w:b w:val="0"/>
                <w:sz w:val="18"/>
              </w:rPr>
              <w:t>Allowlisted diagnosis, age, sex, grade, IDH and MGMT. Exact subject-ID match; unmatched and ambiguous states remain visible.</w:t>
            </w:r>
          </w:p>
        </w:tc>
      </w:tr>
      <w:tr>
        <w:trPr>
          <w:cantSplit w:val="true"/>
        </w:trPr>
        <w:tc>
          <w:tcPr>
            <w:tcW w:type="dxa" w:w="2700"/>
            <w:vAlign w:val="top"/>
          </w:tcPr>
          <w:p>
            <w:pPr>
              <w:keepNext w:val="0"/>
              <w:spacing w:line="252" w:lineRule="auto" w:after="40" w:before="40"/>
            </w:pPr>
            <w:r>
              <w:rPr>
                <w:rFonts w:ascii="Times New Roman" w:hAnsi="Times New Roman"/>
                <w:b w:val="0"/>
                <w:sz w:val="18"/>
              </w:rPr>
              <w:t>Analysis inputs</w:t>
            </w:r>
          </w:p>
        </w:tc>
        <w:tc>
          <w:tcPr>
            <w:tcW w:type="dxa" w:w="6650"/>
            <w:vAlign w:val="top"/>
          </w:tcPr>
          <w:p>
            <w:pPr>
              <w:keepNext w:val="0"/>
              <w:spacing w:line="252" w:lineRule="auto" w:after="40" w:before="40"/>
            </w:pPr>
            <w:r>
              <w:rPr>
                <w:rFonts w:ascii="Times New Roman" w:hAnsi="Times New Roman"/>
                <w:b w:val="0"/>
                <w:sz w:val="18"/>
              </w:rPr>
              <w:t>Four preprocessed, aligned, brain-extracted, 1 mm NIfTI volumes; adapter channel order T1ce, T1, T2, FLAIR.</w:t>
            </w:r>
          </w:p>
        </w:tc>
      </w:tr>
      <w:tr>
        <w:trPr>
          <w:cantSplit w:val="true"/>
        </w:trPr>
        <w:tc>
          <w:tcPr>
            <w:tcW w:type="dxa" w:w="2700"/>
            <w:vAlign w:val="top"/>
          </w:tcPr>
          <w:p>
            <w:pPr>
              <w:keepNext w:val="0"/>
              <w:spacing w:line="252" w:lineRule="auto" w:after="40" w:before="40"/>
            </w:pPr>
            <w:r>
              <w:rPr>
                <w:rFonts w:ascii="Times New Roman" w:hAnsi="Times New Roman"/>
                <w:b w:val="0"/>
                <w:sz w:val="18"/>
              </w:rPr>
              <w:t>Model fixture</w:t>
            </w:r>
          </w:p>
        </w:tc>
        <w:tc>
          <w:tcPr>
            <w:tcW w:type="dxa" w:w="6650"/>
            <w:vAlign w:val="top"/>
          </w:tcPr>
          <w:p>
            <w:pPr>
              <w:keepNext w:val="0"/>
              <w:spacing w:line="252" w:lineRule="auto" w:after="40" w:before="40"/>
            </w:pPr>
            <w:r>
              <w:rPr>
                <w:rFonts w:ascii="Times New Roman" w:hAnsi="Times New Roman"/>
                <w:b w:val="0"/>
                <w:sz w:val="18"/>
              </w:rPr>
              <w:t>Synthetic four-volume functional run recorded on 11 October 2026; no patient accuracy or diagnosis.</w:t>
            </w:r>
          </w:p>
        </w:tc>
      </w:tr>
      <w:tr>
        <w:trPr>
          <w:cantSplit w:val="true"/>
        </w:trPr>
        <w:tc>
          <w:tcPr>
            <w:tcW w:type="dxa" w:w="2700"/>
            <w:vAlign w:val="top"/>
          </w:tcPr>
          <w:p>
            <w:pPr>
              <w:keepNext w:val="0"/>
              <w:spacing w:line="252" w:lineRule="auto" w:after="40" w:before="40"/>
            </w:pPr>
            <w:r>
              <w:rPr>
                <w:rFonts w:ascii="Times New Roman" w:hAnsi="Times New Roman"/>
                <w:b w:val="0"/>
                <w:sz w:val="18"/>
              </w:rPr>
              <w:t>Permission and privacy</w:t>
            </w:r>
          </w:p>
        </w:tc>
        <w:tc>
          <w:tcPr>
            <w:tcW w:type="dxa" w:w="6650"/>
            <w:vAlign w:val="top"/>
          </w:tcPr>
          <w:p>
            <w:pPr>
              <w:keepNext w:val="0"/>
              <w:spacing w:line="252" w:lineRule="auto" w:after="40" w:before="40"/>
            </w:pPr>
            <w:r>
              <w:rPr>
                <w:rFonts w:ascii="Times New Roman" w:hAnsi="Times New Roman"/>
                <w:b w:val="0"/>
                <w:sz w:val="18"/>
              </w:rPr>
              <w:t>Dataset-specific terms apply. Upload declarations do not automatically de-identify raw files or establish patient correspondence.</w:t>
            </w:r>
          </w:p>
        </w:tc>
      </w:tr>
      <w:tr>
        <w:trPr>
          <w:cantSplit w:val="true"/>
        </w:trPr>
        <w:tc>
          <w:tcPr>
            <w:tcW w:type="dxa" w:w="2700"/>
            <w:vAlign w:val="top"/>
          </w:tcPr>
          <w:p>
            <w:pPr>
              <w:keepNext w:val="0"/>
              <w:spacing w:line="252" w:lineRule="auto" w:after="40" w:before="40"/>
            </w:pPr>
            <w:r>
              <w:rPr>
                <w:rFonts w:ascii="Times New Roman" w:hAnsi="Times New Roman"/>
                <w:b w:val="0"/>
                <w:sz w:val="18"/>
              </w:rPr>
              <w:t>Legacy dataset</w:t>
            </w:r>
          </w:p>
        </w:tc>
        <w:tc>
          <w:tcPr>
            <w:tcW w:type="dxa" w:w="6650"/>
            <w:vAlign w:val="top"/>
          </w:tcPr>
          <w:p>
            <w:pPr>
              <w:keepNext w:val="0"/>
              <w:spacing w:line="252" w:lineRule="auto" w:after="40" w:before="40"/>
            </w:pPr>
            <w:r>
              <w:rPr>
                <w:rFonts w:ascii="Times New Roman" w:hAnsi="Times New Roman"/>
                <w:b w:val="0"/>
                <w:sz w:val="18"/>
              </w:rPr>
              <w:t>NIH ChestX-ray14 is retained for the earlier X-ray direction; it is not the implemented v2 cancer cohort.</w:t>
            </w:r>
          </w:p>
        </w:tc>
      </w:tr>
    </w:tbl>
    <w:p/>
    <w:p>
      <w:pPr>
        <w:pStyle w:val="Heading2"/>
      </w:pPr>
      <w:r>
        <w:rPr>
          <w:color w:val="000000"/>
        </w:rPr>
        <w:t>6 1 Data Preparation Plan</w:t>
      </w:r>
    </w:p>
    <w:p>
      <w:pPr>
        <w:jc w:val="both"/>
      </w:pPr>
      <w:r>
        <w:rPr>
          <w:rFonts w:ascii="Times New Roman" w:hAnsi="Times New Roman"/>
          <w:b w:val="0"/>
        </w:rPr>
        <w:t>Imports require a source subject ID, collection and permission/license declaration. Clinical CSV matching uses subject_id, PatientID or ID and retains allowlisted diagnosis, age, sex, grade, IDH and MGMT values; common UCSF equivalents are recognized. Duplicate matching rows remain ambiguous. An exact join confirms the supplied identifier match, not independently verified patient identity; NIfTI subject correspondence remains a source declaration unless supported by a provider crosswalk. Raw DICOM conversion, registration and brain extraction are offline prerequisites for the MRI worker. No patient split, independent cohort metric or retrieval-log evaluation has been completed for v2.</w:t>
      </w:r>
    </w:p>
    <w:p>
      <w:pPr>
        <w:pStyle w:val="Heading1"/>
      </w:pPr>
      <w:r>
        <w:rPr>
          <w:color w:val="000000"/>
        </w:rPr>
        <w:t>7 AWS Services and Deployment Status</w:t>
      </w:r>
    </w:p>
    <w:p>
      <w:r>
        <w:rPr>
          <w:rFonts w:ascii="Times New Roman" w:hAnsi="Times New Roman"/>
        </w:rPr>
        <w:t>Table 6 identifies the AWS services defined for the retained v1 application. Configured means present in implementation or infrastructure code, rather than deployed. The current v2 study archive executes locally and does not yet use these resources for bundle operations.</w:t>
      </w:r>
    </w:p>
    <w:p>
      <w:pPr>
        <w:keepNext/>
        <w:spacing w:after="80"/>
      </w:pPr>
      <w:r>
        <w:rPr>
          <w:rFonts w:ascii="Times New Roman" w:hAnsi="Times New Roman"/>
          <w:b/>
          <w:sz w:val="21"/>
        </w:rPr>
        <w:t>Table 6. AWS services planning.</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200"/>
        <w:gridCol w:w="2100"/>
        <w:gridCol w:w="1250"/>
        <w:gridCol w:w="2300"/>
      </w:tblGrid>
      <w:tr>
        <w:trPr>
          <w:tblHeader w:val="true"/>
        </w:trPr>
        <w:tc>
          <w:tcPr>
            <w:tcW w:type="dxa" w:w="1500"/>
            <w:shd w:val="clear" w:color="auto" w:fill="D9EAF7"/>
            <w:vAlign w:val="center"/>
          </w:tcPr>
          <w:p>
            <w:pPr>
              <w:keepNext/>
              <w:spacing w:line="252" w:lineRule="auto" w:after="40" w:before="40"/>
            </w:pPr>
            <w:r>
              <w:rPr>
                <w:rFonts w:ascii="Times New Roman" w:hAnsi="Times New Roman"/>
                <w:b/>
                <w:sz w:val="18"/>
              </w:rPr>
              <w:t>AWS service</w:t>
            </w:r>
          </w:p>
        </w:tc>
        <w:tc>
          <w:tcPr>
            <w:tcW w:type="dxa" w:w="2200"/>
            <w:shd w:val="clear" w:color="auto" w:fill="D9EAF7"/>
            <w:vAlign w:val="center"/>
          </w:tcPr>
          <w:p>
            <w:pPr>
              <w:keepNext/>
              <w:spacing w:line="252" w:lineRule="auto" w:after="40" w:before="40"/>
            </w:pPr>
            <w:r>
              <w:rPr>
                <w:rFonts w:ascii="Times New Roman" w:hAnsi="Times New Roman"/>
                <w:b/>
                <w:sz w:val="18"/>
              </w:rPr>
              <w:t>Purpose in this project</w:t>
            </w:r>
          </w:p>
        </w:tc>
        <w:tc>
          <w:tcPr>
            <w:tcW w:type="dxa" w:w="2100"/>
            <w:shd w:val="clear" w:color="auto" w:fill="D9EAF7"/>
            <w:vAlign w:val="center"/>
          </w:tcPr>
          <w:p>
            <w:pPr>
              <w:keepNext/>
              <w:spacing w:line="252" w:lineRule="auto" w:after="40" w:before="40"/>
            </w:pPr>
            <w:r>
              <w:rPr>
                <w:rFonts w:ascii="Times New Roman" w:hAnsi="Times New Roman"/>
                <w:b/>
                <w:sz w:val="18"/>
              </w:rPr>
              <w:t>Input/output or integration</w:t>
            </w:r>
          </w:p>
        </w:tc>
        <w:tc>
          <w:tcPr>
            <w:tcW w:type="dxa" w:w="1250"/>
            <w:shd w:val="clear" w:color="auto" w:fill="D9EAF7"/>
            <w:vAlign w:val="center"/>
          </w:tcPr>
          <w:p>
            <w:pPr>
              <w:keepNext/>
              <w:spacing w:line="252" w:lineRule="auto" w:after="40" w:before="40"/>
            </w:pPr>
            <w:r>
              <w:rPr>
                <w:rFonts w:ascii="Times New Roman" w:hAnsi="Times New Roman"/>
                <w:b/>
                <w:sz w:val="18"/>
              </w:rPr>
              <w:t>Status</w:t>
            </w:r>
          </w:p>
        </w:tc>
        <w:tc>
          <w:tcPr>
            <w:tcW w:type="dxa" w:w="2300"/>
            <w:shd w:val="clear" w:color="auto" w:fill="D9EAF7"/>
            <w:vAlign w:val="center"/>
          </w:tcPr>
          <w:p>
            <w:pPr>
              <w:keepNext/>
              <w:spacing w:line="252" w:lineRule="auto" w:after="40" w:before="40"/>
            </w:pPr>
            <w:r>
              <w:rPr>
                <w:rFonts w:ascii="Times New Roman" w:hAnsi="Times New Roman"/>
                <w:b/>
                <w:sz w:val="18"/>
              </w:rPr>
              <w:t>Security / cost considerations</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S3</w:t>
            </w:r>
          </w:p>
        </w:tc>
        <w:tc>
          <w:tcPr>
            <w:tcW w:type="dxa" w:w="2200"/>
            <w:vAlign w:val="top"/>
          </w:tcPr>
          <w:p>
            <w:pPr>
              <w:keepNext w:val="0"/>
              <w:spacing w:line="252" w:lineRule="auto" w:after="40" w:before="40"/>
            </w:pPr>
            <w:r>
              <w:rPr>
                <w:rFonts w:ascii="Times New Roman" w:hAnsi="Times New Roman"/>
                <w:b w:val="0"/>
                <w:sz w:val="18"/>
              </w:rPr>
              <w:t>Private image bucket (four storage classes) and private frontend bucket</w:t>
            </w:r>
          </w:p>
        </w:tc>
        <w:tc>
          <w:tcPr>
            <w:tcW w:type="dxa" w:w="2100"/>
            <w:vAlign w:val="top"/>
          </w:tcPr>
          <w:p>
            <w:pPr>
              <w:keepNext w:val="0"/>
              <w:spacing w:line="252" w:lineRule="auto" w:after="40" w:before="40"/>
            </w:pPr>
            <w:r>
              <w:rPr>
                <w:rFonts w:ascii="Times New Roman" w:hAnsi="Times New Roman"/>
                <w:b w:val="0"/>
                <w:sz w:val="18"/>
              </w:rPr>
              <w:t>ingest_scan.py uploads; ObjectCreated → tier_inference; tag-filtered Lifecycle; API tags, restores, copies</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Block Public Access, SSE-S3, versioning, retained on delete. Standard-IA: 30-day minimum and 128 KB floor; Glacier 90 days; Deep Archive 180 days</w:t>
            </w:r>
          </w:p>
        </w:tc>
      </w:tr>
      <w:tr>
        <w:trPr>
          <w:cantSplit w:val="true"/>
        </w:trPr>
        <w:tc>
          <w:tcPr>
            <w:tcW w:type="dxa" w:w="1500"/>
            <w:vAlign w:val="top"/>
          </w:tcPr>
          <w:p>
            <w:pPr>
              <w:keepNext w:val="0"/>
              <w:spacing w:line="252" w:lineRule="auto" w:after="40" w:before="40"/>
            </w:pPr>
            <w:r>
              <w:rPr>
                <w:rFonts w:ascii="Times New Roman" w:hAnsi="Times New Roman"/>
                <w:b w:val="0"/>
                <w:sz w:val="18"/>
              </w:rPr>
              <w:t>AWS Lambda (EC2 not used)</w:t>
            </w:r>
          </w:p>
        </w:tc>
        <w:tc>
          <w:tcPr>
            <w:tcW w:type="dxa" w:w="2200"/>
            <w:vAlign w:val="top"/>
          </w:tcPr>
          <w:p>
            <w:pPr>
              <w:keepNext w:val="0"/>
              <w:spacing w:line="252" w:lineRule="auto" w:after="40" w:before="40"/>
            </w:pPr>
            <w:r>
              <w:rPr>
                <w:rFonts w:ascii="Times New Roman" w:hAnsi="Times New Roman"/>
                <w:b w:val="0"/>
                <w:sz w:val="18"/>
              </w:rPr>
              <w:t>api_handler (REST API) and tier_inference (placement + hourly reconciliation); Python 3.12, 256 MB, 30 s</w:t>
            </w:r>
          </w:p>
        </w:tc>
        <w:tc>
          <w:tcPr>
            <w:tcW w:type="dxa" w:w="2100"/>
            <w:vAlign w:val="top"/>
          </w:tcPr>
          <w:p>
            <w:pPr>
              <w:keepNext w:val="0"/>
              <w:spacing w:line="252" w:lineRule="auto" w:after="40" w:before="40"/>
            </w:pPr>
            <w:r>
              <w:rPr>
                <w:rFonts w:ascii="Times New Roman" w:hAnsi="Times New Roman"/>
                <w:b w:val="0"/>
                <w:sz w:val="18"/>
              </w:rPr>
              <w:t>API Gateway → api_handler; S3 event and EventBridge → tier_inference</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Scoped execution roles; no PyTorch in package; pay per request, no idle cost (EC2 rejected, ADR-001)</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DynamoDB (RDS not used)</w:t>
            </w:r>
          </w:p>
        </w:tc>
        <w:tc>
          <w:tcPr>
            <w:tcW w:type="dxa" w:w="2200"/>
            <w:vAlign w:val="top"/>
          </w:tcPr>
          <w:p>
            <w:pPr>
              <w:keepNext w:val="0"/>
              <w:spacing w:line="252" w:lineRule="auto" w:after="40" w:before="40"/>
            </w:pPr>
            <w:r>
              <w:rPr>
                <w:rFonts w:ascii="Times New Roman" w:hAnsi="Times New Roman"/>
                <w:b w:val="0"/>
                <w:sz w:val="18"/>
              </w:rPr>
              <w:t>ScanTable (latest state) and DecisionAuditTable (append-only)</w:t>
            </w:r>
          </w:p>
        </w:tc>
        <w:tc>
          <w:tcPr>
            <w:tcW w:type="dxa" w:w="2100"/>
            <w:vAlign w:val="top"/>
          </w:tcPr>
          <w:p>
            <w:pPr>
              <w:keepNext w:val="0"/>
              <w:spacing w:line="252" w:lineRule="auto" w:after="40" w:before="40"/>
            </w:pPr>
            <w:r>
              <w:rPr>
                <w:rFonts w:ascii="Times New Roman" w:hAnsi="Times New Roman"/>
                <w:b w:val="0"/>
                <w:sz w:val="18"/>
              </w:rPr>
              <w:t>Read/written by both Lambdas</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On-demand billing; point-in-time recovery; key-value access suits the hot path (RDS rejected, ADR-004)</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API Gateway</w:t>
            </w:r>
          </w:p>
        </w:tc>
        <w:tc>
          <w:tcPr>
            <w:tcW w:type="dxa" w:w="2200"/>
            <w:vAlign w:val="top"/>
          </w:tcPr>
          <w:p>
            <w:pPr>
              <w:keepNext w:val="0"/>
              <w:spacing w:line="252" w:lineRule="auto" w:after="40" w:before="40"/>
            </w:pPr>
            <w:r>
              <w:rPr>
                <w:rFonts w:ascii="Times New Roman" w:hAnsi="Times New Roman"/>
                <w:b w:val="0"/>
                <w:sz w:val="18"/>
              </w:rPr>
              <w:t>REST entry point for /api/* routes</w:t>
            </w:r>
          </w:p>
        </w:tc>
        <w:tc>
          <w:tcPr>
            <w:tcW w:type="dxa" w:w="2100"/>
            <w:vAlign w:val="top"/>
          </w:tcPr>
          <w:p>
            <w:pPr>
              <w:keepNext w:val="0"/>
              <w:spacing w:line="252" w:lineRule="auto" w:after="40" w:before="40"/>
            </w:pPr>
            <w:r>
              <w:rPr>
                <w:rFonts w:ascii="Times New Roman" w:hAnsi="Times New Roman"/>
                <w:b w:val="0"/>
                <w:sz w:val="18"/>
              </w:rPr>
              <w:t>Dashboard → API Gateway → api_handler</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Cognito authorizer on every route; CORS limited to the frontend origin; default throttling</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Cognito / AWS IAM</w:t>
            </w:r>
          </w:p>
        </w:tc>
        <w:tc>
          <w:tcPr>
            <w:tcW w:type="dxa" w:w="2200"/>
            <w:vAlign w:val="top"/>
          </w:tcPr>
          <w:p>
            <w:pPr>
              <w:keepNext w:val="0"/>
              <w:spacing w:line="252" w:lineRule="auto" w:after="40" w:before="40"/>
            </w:pPr>
            <w:r>
              <w:rPr>
                <w:rFonts w:ascii="Times New Roman" w:hAnsi="Times New Roman"/>
                <w:b w:val="0"/>
                <w:sz w:val="18"/>
              </w:rPr>
              <w:t>User pool and web client; viewer, archive-admin and operator groups; Lambda execution roles</w:t>
            </w:r>
          </w:p>
        </w:tc>
        <w:tc>
          <w:tcPr>
            <w:tcW w:type="dxa" w:w="2100"/>
            <w:vAlign w:val="top"/>
          </w:tcPr>
          <w:p>
            <w:pPr>
              <w:keepNext w:val="0"/>
              <w:spacing w:line="252" w:lineRule="auto" w:after="40" w:before="40"/>
            </w:pPr>
            <w:r>
              <w:rPr>
                <w:rFonts w:ascii="Times New Roman" w:hAnsi="Times New Roman"/>
                <w:b w:val="0"/>
                <w:sz w:val="18"/>
              </w:rPr>
              <w:t>JWT used by the dashboard and validated by API Gateway</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Password policy ≥ 12 characters; group checks on mutations; MFA not yet enabled (planned)</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CloudWatch</w:t>
            </w:r>
          </w:p>
        </w:tc>
        <w:tc>
          <w:tcPr>
            <w:tcW w:type="dxa" w:w="2200"/>
            <w:vAlign w:val="top"/>
          </w:tcPr>
          <w:p>
            <w:pPr>
              <w:keepNext w:val="0"/>
              <w:spacing w:line="252" w:lineRule="auto" w:after="40" w:before="40"/>
            </w:pPr>
            <w:r>
              <w:rPr>
                <w:rFonts w:ascii="Times New Roman" w:hAnsi="Times New Roman"/>
                <w:b w:val="0"/>
                <w:sz w:val="18"/>
              </w:rPr>
              <w:t>Lambda logs and custom placement metrics</w:t>
            </w:r>
          </w:p>
        </w:tc>
        <w:tc>
          <w:tcPr>
            <w:tcW w:type="dxa" w:w="2100"/>
            <w:vAlign w:val="top"/>
          </w:tcPr>
          <w:p>
            <w:pPr>
              <w:keepNext w:val="0"/>
              <w:spacing w:line="252" w:lineRule="auto" w:after="40" w:before="40"/>
            </w:pPr>
            <w:r>
              <w:rPr>
                <w:rFonts w:ascii="Times New Roman" w:hAnsi="Times New Roman"/>
                <w:b w:val="0"/>
                <w:sz w:val="18"/>
              </w:rPr>
              <w:t>tier_inference → PutMetricData</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Alarms and log retention to be added; metric permission is the only wildcard resource</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SNS</w:t>
            </w:r>
          </w:p>
        </w:tc>
        <w:tc>
          <w:tcPr>
            <w:tcW w:type="dxa" w:w="2200"/>
            <w:vAlign w:val="top"/>
          </w:tcPr>
          <w:p>
            <w:pPr>
              <w:keepNext w:val="0"/>
              <w:spacing w:line="252" w:lineRule="auto" w:after="40" w:before="40"/>
            </w:pPr>
            <w:r>
              <w:rPr>
                <w:rFonts w:ascii="Times New Roman" w:hAnsi="Times New Roman"/>
                <w:b w:val="0"/>
                <w:sz w:val="18"/>
              </w:rPr>
              <w:t>Alert topic for restore-completed notifications (e-mail)</w:t>
            </w:r>
          </w:p>
        </w:tc>
        <w:tc>
          <w:tcPr>
            <w:tcW w:type="dxa" w:w="2100"/>
            <w:vAlign w:val="top"/>
          </w:tcPr>
          <w:p>
            <w:pPr>
              <w:keepNext w:val="0"/>
              <w:spacing w:line="252" w:lineRule="auto" w:after="40" w:before="40"/>
            </w:pPr>
            <w:r>
              <w:rPr>
                <w:rFonts w:ascii="Times New Roman" w:hAnsi="Times New Roman"/>
                <w:b w:val="0"/>
                <w:sz w:val="18"/>
              </w:rPr>
              <w:t>EventBridge rule → SNS → subscribers</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Topic policy allows publishing from EventBridge only; free e-mail allowance</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CloudFront</w:t>
            </w:r>
          </w:p>
        </w:tc>
        <w:tc>
          <w:tcPr>
            <w:tcW w:type="dxa" w:w="2200"/>
            <w:vAlign w:val="top"/>
          </w:tcPr>
          <w:p>
            <w:pPr>
              <w:keepNext w:val="0"/>
              <w:spacing w:line="252" w:lineRule="auto" w:after="40" w:before="40"/>
            </w:pPr>
            <w:r>
              <w:rPr>
                <w:rFonts w:ascii="Times New Roman" w:hAnsi="Times New Roman"/>
                <w:b w:val="0"/>
                <w:sz w:val="18"/>
              </w:rPr>
              <w:t>HTTPS delivery of the React build</w:t>
            </w:r>
          </w:p>
        </w:tc>
        <w:tc>
          <w:tcPr>
            <w:tcW w:type="dxa" w:w="2100"/>
            <w:vAlign w:val="top"/>
          </w:tcPr>
          <w:p>
            <w:pPr>
              <w:keepNext w:val="0"/>
              <w:spacing w:line="252" w:lineRule="auto" w:after="40" w:before="40"/>
            </w:pPr>
            <w:r>
              <w:rPr>
                <w:rFonts w:ascii="Times New Roman" w:hAnsi="Times New Roman"/>
                <w:b w:val="0"/>
                <w:sz w:val="18"/>
              </w:rPr>
              <w:t>CloudFront → private frontend bucket (OAC)</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Redirect to HTTPS; bucket not publicly readable</w:t>
            </w:r>
          </w:p>
        </w:tc>
      </w:tr>
      <w:tr>
        <w:trPr>
          <w:cantSplit w:val="true"/>
        </w:trPr>
        <w:tc>
          <w:tcPr>
            <w:tcW w:type="dxa" w:w="1500"/>
            <w:vAlign w:val="top"/>
          </w:tcPr>
          <w:p>
            <w:pPr>
              <w:keepNext w:val="0"/>
              <w:spacing w:line="252" w:lineRule="auto" w:after="40" w:before="40"/>
            </w:pPr>
            <w:r>
              <w:rPr>
                <w:rFonts w:ascii="Times New Roman" w:hAnsi="Times New Roman"/>
                <w:b w:val="0"/>
                <w:sz w:val="18"/>
              </w:rPr>
              <w:t>Amazon EventBridge</w:t>
            </w:r>
          </w:p>
        </w:tc>
        <w:tc>
          <w:tcPr>
            <w:tcW w:type="dxa" w:w="2200"/>
            <w:vAlign w:val="top"/>
          </w:tcPr>
          <w:p>
            <w:pPr>
              <w:keepNext w:val="0"/>
              <w:spacing w:line="252" w:lineRule="auto" w:after="40" w:before="40"/>
            </w:pPr>
            <w:r>
              <w:rPr>
                <w:rFonts w:ascii="Times New Roman" w:hAnsi="Times New Roman"/>
                <w:b w:val="0"/>
                <w:sz w:val="18"/>
              </w:rPr>
              <w:t>Hourly reconciliation schedule; S3 Object Restore Completed rule</w:t>
            </w:r>
          </w:p>
        </w:tc>
        <w:tc>
          <w:tcPr>
            <w:tcW w:type="dxa" w:w="2100"/>
            <w:vAlign w:val="top"/>
          </w:tcPr>
          <w:p>
            <w:pPr>
              <w:keepNext w:val="0"/>
              <w:spacing w:line="252" w:lineRule="auto" w:after="40" w:before="40"/>
            </w:pPr>
            <w:r>
              <w:rPr>
                <w:rFonts w:ascii="Times New Roman" w:hAnsi="Times New Roman"/>
                <w:b w:val="0"/>
                <w:sz w:val="18"/>
              </w:rPr>
              <w:t>Schedule → tier_inference; rule → SNS</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No cost at this volume</w:t>
            </w:r>
          </w:p>
        </w:tc>
      </w:tr>
      <w:tr>
        <w:trPr>
          <w:cantSplit w:val="true"/>
        </w:trPr>
        <w:tc>
          <w:tcPr>
            <w:tcW w:type="dxa" w:w="1500"/>
            <w:vAlign w:val="top"/>
          </w:tcPr>
          <w:p>
            <w:pPr>
              <w:keepNext w:val="0"/>
              <w:spacing w:line="252" w:lineRule="auto" w:after="40" w:before="40"/>
            </w:pPr>
            <w:r>
              <w:rPr>
                <w:rFonts w:ascii="Times New Roman" w:hAnsi="Times New Roman"/>
                <w:b w:val="0"/>
                <w:sz w:val="18"/>
              </w:rPr>
              <w:t>AWS SAM / CloudFormation</w:t>
            </w:r>
          </w:p>
        </w:tc>
        <w:tc>
          <w:tcPr>
            <w:tcW w:type="dxa" w:w="2200"/>
            <w:vAlign w:val="top"/>
          </w:tcPr>
          <w:p>
            <w:pPr>
              <w:keepNext w:val="0"/>
              <w:spacing w:line="252" w:lineRule="auto" w:after="40" w:before="40"/>
            </w:pPr>
            <w:r>
              <w:rPr>
                <w:rFonts w:ascii="Times New Roman" w:hAnsi="Times New Roman"/>
                <w:b w:val="0"/>
                <w:sz w:val="18"/>
              </w:rPr>
              <w:t>Single deployable stack; deploy.ps1 packages, deploys and publishes the frontend</w:t>
            </w:r>
          </w:p>
        </w:tc>
        <w:tc>
          <w:tcPr>
            <w:tcW w:type="dxa" w:w="2100"/>
            <w:vAlign w:val="top"/>
          </w:tcPr>
          <w:p>
            <w:pPr>
              <w:keepNext w:val="0"/>
              <w:spacing w:line="252" w:lineRule="auto" w:after="40" w:before="40"/>
            </w:pPr>
            <w:r>
              <w:rPr>
                <w:rFonts w:ascii="Times New Roman" w:hAnsi="Times New Roman"/>
                <w:b w:val="0"/>
                <w:sz w:val="18"/>
              </w:rPr>
              <w:t>All resources above</w:t>
            </w:r>
          </w:p>
        </w:tc>
        <w:tc>
          <w:tcPr>
            <w:tcW w:type="dxa" w:w="1250"/>
            <w:vAlign w:val="top"/>
          </w:tcPr>
          <w:p>
            <w:pPr>
              <w:keepNext w:val="0"/>
              <w:spacing w:line="252" w:lineRule="auto" w:after="40" w:before="40"/>
            </w:pPr>
            <w:r>
              <w:rPr>
                <w:rFonts w:ascii="Times New Roman" w:hAnsi="Times New Roman"/>
                <w:b w:val="0"/>
                <w:sz w:val="18"/>
              </w:rPr>
              <w:t>V1 configured not deployed</w:t>
            </w:r>
          </w:p>
        </w:tc>
        <w:tc>
          <w:tcPr>
            <w:tcW w:type="dxa" w:w="2300"/>
            <w:vAlign w:val="top"/>
          </w:tcPr>
          <w:p>
            <w:pPr>
              <w:keepNext w:val="0"/>
              <w:spacing w:line="252" w:lineRule="auto" w:after="40" w:before="40"/>
            </w:pPr>
            <w:r>
              <w:rPr>
                <w:rFonts w:ascii="Times New Roman" w:hAnsi="Times New Roman"/>
                <w:b w:val="0"/>
                <w:sz w:val="18"/>
              </w:rPr>
              <w:t>Repeatable, reviewable infrastructure; no console drift</w:t>
            </w:r>
          </w:p>
        </w:tc>
      </w:tr>
      <w:tr>
        <w:trPr>
          <w:cantSplit w:val="true"/>
        </w:trPr>
        <w:tc>
          <w:tcPr>
            <w:tcW w:type="dxa" w:w="1500"/>
            <w:vAlign w:val="top"/>
          </w:tcPr>
          <w:p>
            <w:pPr>
              <w:keepNext w:val="0"/>
              <w:spacing w:line="252" w:lineRule="auto" w:after="40" w:before="40"/>
            </w:pPr>
            <w:r>
              <w:rPr>
                <w:rFonts w:ascii="Times New Roman" w:hAnsi="Times New Roman"/>
                <w:b w:val="0"/>
                <w:sz w:val="18"/>
              </w:rPr>
              <w:t>AWS Budgets</w:t>
            </w:r>
          </w:p>
        </w:tc>
        <w:tc>
          <w:tcPr>
            <w:tcW w:type="dxa" w:w="2200"/>
            <w:vAlign w:val="top"/>
          </w:tcPr>
          <w:p>
            <w:pPr>
              <w:keepNext w:val="0"/>
              <w:spacing w:line="252" w:lineRule="auto" w:after="40" w:before="40"/>
            </w:pPr>
            <w:r>
              <w:rPr>
                <w:rFonts w:ascii="Times New Roman" w:hAnsi="Times New Roman"/>
                <w:b w:val="0"/>
                <w:sz w:val="18"/>
              </w:rPr>
              <w:t>Spend alarm at US$1 before any resource is created</w:t>
            </w:r>
          </w:p>
        </w:tc>
        <w:tc>
          <w:tcPr>
            <w:tcW w:type="dxa" w:w="2100"/>
            <w:vAlign w:val="top"/>
          </w:tcPr>
          <w:p>
            <w:pPr>
              <w:keepNext w:val="0"/>
              <w:spacing w:line="252" w:lineRule="auto" w:after="40" w:before="40"/>
            </w:pPr>
            <w:r>
              <w:rPr>
                <w:rFonts w:ascii="Times New Roman" w:hAnsi="Times New Roman"/>
                <w:b w:val="0"/>
                <w:sz w:val="18"/>
              </w:rPr>
              <w:t>E-mail alert</w:t>
            </w:r>
          </w:p>
        </w:tc>
        <w:tc>
          <w:tcPr>
            <w:tcW w:type="dxa" w:w="1250"/>
            <w:vAlign w:val="top"/>
          </w:tcPr>
          <w:p>
            <w:pPr>
              <w:keepNext w:val="0"/>
              <w:spacing w:line="252" w:lineRule="auto" w:after="40" w:before="40"/>
            </w:pPr>
            <w:r>
              <w:rPr>
                <w:rFonts w:ascii="Times New Roman" w:hAnsi="Times New Roman"/>
                <w:b w:val="0"/>
                <w:sz w:val="18"/>
              </w:rPr>
              <w:t>Planned manual setup</w:t>
            </w:r>
          </w:p>
        </w:tc>
        <w:tc>
          <w:tcPr>
            <w:tcW w:type="dxa" w:w="2300"/>
            <w:vAlign w:val="top"/>
          </w:tcPr>
          <w:p>
            <w:pPr>
              <w:keepNext w:val="0"/>
              <w:spacing w:line="252" w:lineRule="auto" w:after="40" w:before="40"/>
            </w:pPr>
            <w:r>
              <w:rPr>
                <w:rFonts w:ascii="Times New Roman" w:hAnsi="Times New Roman"/>
                <w:b w:val="0"/>
                <w:sz w:val="18"/>
              </w:rPr>
              <w:t>Main protection against unexpected cost</w:t>
            </w:r>
          </w:p>
        </w:tc>
      </w:tr>
    </w:tbl>
    <w:p/>
    <w:p>
      <w:pPr>
        <w:pStyle w:val="Heading2"/>
      </w:pPr>
      <w:r>
        <w:rPr>
          <w:color w:val="000000"/>
        </w:rPr>
        <w:t>7 1 AWS Deployment and Network Design</w:t>
      </w:r>
    </w:p>
    <w:p>
      <w:pPr>
        <w:jc w:val="both"/>
      </w:pPr>
      <w:r>
        <w:rPr>
          <w:rFonts w:ascii="Times New Roman" w:hAnsi="Times New Roman"/>
          <w:b w:val="0"/>
        </w:rPr>
        <w:t>The checked-in engineering price snapshot uses us-east-1 and a review date of 21 September 2026. The deployment script packages the retained Lambda functions, deploys the SAM stack, builds the frontend and publishes its assets. This workflow requires AWS credentials, user/group setup and post-deployment evidence. The current local archive runs at frontend port 5173 and Flask port 5000 with SQLite. Selecting DynamoDB mode explicitly disables v2 archive endpoints. A future study-aware deployment must add bundle persistence, object operations and reconciliation before the v2 interface can claim cloud execution.</w:t>
      </w:r>
    </w:p>
    <w:p>
      <w:pPr>
        <w:pStyle w:val="Heading2"/>
      </w:pPr>
      <w:r>
        <w:rPr>
          <w:color w:val="000000"/>
        </w:rPr>
        <w:t>7 2 Cost Estimation</w:t>
      </w:r>
    </w:p>
    <w:p>
      <w:r>
        <w:rPr>
          <w:rFonts w:ascii="Times New Roman" w:hAnsi="Times New Roman"/>
          <w:b w:val="0"/>
        </w:rPr>
        <w:t>The current cost view is a declared-workload simulation using the checked-in price snapshot, not a live pricing feed or an AWS bill. Table 7 lists the model assumptions and exclusions. Prices must be reviewed before deployment; this report does not claim that the September snapshot is current AWS pricing.</w:t>
      </w:r>
    </w:p>
    <w:p>
      <w:pPr>
        <w:keepNext/>
        <w:spacing w:after="80"/>
      </w:pPr>
      <w:r>
        <w:rPr>
          <w:rFonts w:ascii="Times New Roman" w:hAnsi="Times New Roman"/>
          <w:b/>
          <w:sz w:val="21"/>
        </w:rPr>
        <w:t>Table 7. Implemented monetary model assumptions and exclusions.</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0"/>
        <w:gridCol w:w="4050"/>
        <w:gridCol w:w="2000"/>
      </w:tblGrid>
      <w:tr>
        <w:trPr>
          <w:tblHeader w:val="true"/>
        </w:trPr>
        <w:tc>
          <w:tcPr>
            <w:tcW w:type="dxa" w:w="3300"/>
            <w:shd w:val="clear" w:color="auto" w:fill="D9EAF7"/>
            <w:vAlign w:val="center"/>
          </w:tcPr>
          <w:p>
            <w:pPr>
              <w:keepNext/>
              <w:spacing w:line="252" w:lineRule="auto" w:after="40" w:before="40"/>
            </w:pPr>
            <w:r>
              <w:rPr>
                <w:rFonts w:ascii="Times New Roman" w:hAnsi="Times New Roman"/>
                <w:b/>
                <w:sz w:val="18"/>
              </w:rPr>
              <w:t>Model item</w:t>
            </w:r>
          </w:p>
        </w:tc>
        <w:tc>
          <w:tcPr>
            <w:tcW w:type="dxa" w:w="4050"/>
            <w:shd w:val="clear" w:color="auto" w:fill="D9EAF7"/>
            <w:vAlign w:val="center"/>
          </w:tcPr>
          <w:p>
            <w:pPr>
              <w:keepNext/>
              <w:spacing w:line="252" w:lineRule="auto" w:after="40" w:before="40"/>
            </w:pPr>
            <w:r>
              <w:rPr>
                <w:rFonts w:ascii="Times New Roman" w:hAnsi="Times New Roman"/>
                <w:b/>
                <w:sz w:val="18"/>
              </w:rPr>
              <w:t>Implemented assumption</w:t>
            </w:r>
          </w:p>
        </w:tc>
        <w:tc>
          <w:tcPr>
            <w:tcW w:type="dxa" w:w="2000"/>
            <w:shd w:val="clear" w:color="auto" w:fill="D9EAF7"/>
            <w:vAlign w:val="center"/>
          </w:tcPr>
          <w:p>
            <w:pPr>
              <w:keepNext/>
              <w:spacing w:line="252" w:lineRule="auto" w:after="40" w:before="40"/>
            </w:pPr>
            <w:r>
              <w:rPr>
                <w:rFonts w:ascii="Times New Roman" w:hAnsi="Times New Roman"/>
                <w:b/>
                <w:sz w:val="18"/>
              </w:rPr>
              <w:t>Scope</w:t>
            </w:r>
          </w:p>
        </w:tc>
      </w:tr>
      <w:tr>
        <w:trPr>
          <w:cantSplit w:val="true"/>
        </w:trPr>
        <w:tc>
          <w:tcPr>
            <w:tcW w:type="dxa" w:w="3300"/>
            <w:vAlign w:val="top"/>
          </w:tcPr>
          <w:p>
            <w:pPr>
              <w:keepNext w:val="0"/>
              <w:spacing w:line="252" w:lineRule="auto" w:after="40" w:before="40"/>
            </w:pPr>
            <w:r>
              <w:rPr>
                <w:rFonts w:ascii="Times New Roman" w:hAnsi="Times New Roman"/>
                <w:b w:val="0"/>
                <w:sz w:val="18"/>
              </w:rPr>
              <w:t>Price source</w:t>
            </w:r>
          </w:p>
        </w:tc>
        <w:tc>
          <w:tcPr>
            <w:tcW w:type="dxa" w:w="4050"/>
            <w:vAlign w:val="top"/>
          </w:tcPr>
          <w:p>
            <w:pPr>
              <w:keepNext w:val="0"/>
              <w:spacing w:line="252" w:lineRule="auto" w:after="40" w:before="40"/>
            </w:pPr>
            <w:r>
              <w:rPr>
                <w:rFonts w:ascii="Times New Roman" w:hAnsi="Times New Roman"/>
                <w:b w:val="0"/>
                <w:sz w:val="18"/>
              </w:rPr>
              <w:t>USD us-east-1 engineering snapshot reviewed 21 September 2026</w:t>
            </w:r>
          </w:p>
        </w:tc>
        <w:tc>
          <w:tcPr>
            <w:tcW w:type="dxa" w:w="2000"/>
            <w:vAlign w:val="top"/>
          </w:tcPr>
          <w:p>
            <w:pPr>
              <w:keepNext w:val="0"/>
              <w:spacing w:line="252" w:lineRule="auto" w:after="40" w:before="40"/>
            </w:pPr>
            <w:r>
              <w:rPr>
                <w:rFonts w:ascii="Times New Roman" w:hAnsi="Times New Roman"/>
                <w:b w:val="0"/>
                <w:sz w:val="18"/>
              </w:rPr>
              <w:t>No live price refresh</w:t>
            </w:r>
          </w:p>
        </w:tc>
      </w:tr>
      <w:tr>
        <w:trPr>
          <w:cantSplit w:val="true"/>
        </w:trPr>
        <w:tc>
          <w:tcPr>
            <w:tcW w:type="dxa" w:w="3300"/>
            <w:vAlign w:val="top"/>
          </w:tcPr>
          <w:p>
            <w:pPr>
              <w:keepNext w:val="0"/>
              <w:spacing w:line="252" w:lineRule="auto" w:after="40" w:before="40"/>
            </w:pPr>
            <w:r>
              <w:rPr>
                <w:rFonts w:ascii="Times New Roman" w:hAnsi="Times New Roman"/>
                <w:b w:val="0"/>
                <w:sz w:val="18"/>
              </w:rPr>
              <w:t>Storage</w:t>
            </w:r>
          </w:p>
        </w:tc>
        <w:tc>
          <w:tcPr>
            <w:tcW w:type="dxa" w:w="4050"/>
            <w:vAlign w:val="top"/>
          </w:tcPr>
          <w:p>
            <w:pPr>
              <w:keepNext w:val="0"/>
              <w:spacing w:line="252" w:lineRule="auto" w:after="40" w:before="40"/>
            </w:pPr>
            <w:r>
              <w:rPr>
                <w:rFonts w:ascii="Times New Roman" w:hAnsi="Times New Roman"/>
                <w:b w:val="0"/>
                <w:sz w:val="18"/>
              </w:rPr>
              <w:t>Per-object billable size and minimum duration by tier</w:t>
            </w:r>
          </w:p>
        </w:tc>
        <w:tc>
          <w:tcPr>
            <w:tcW w:type="dxa" w:w="2000"/>
            <w:vAlign w:val="top"/>
          </w:tcPr>
          <w:p>
            <w:pPr>
              <w:keepNext w:val="0"/>
              <w:spacing w:line="252" w:lineRule="auto" w:after="40" w:before="40"/>
            </w:pPr>
            <w:r>
              <w:rPr>
                <w:rFonts w:ascii="Times New Roman" w:hAnsi="Times New Roman"/>
                <w:b w:val="0"/>
                <w:sz w:val="18"/>
              </w:rPr>
              <w:t>Four class candidates</w:t>
            </w:r>
          </w:p>
        </w:tc>
      </w:tr>
      <w:tr>
        <w:trPr>
          <w:cantSplit w:val="true"/>
        </w:trPr>
        <w:tc>
          <w:tcPr>
            <w:tcW w:type="dxa" w:w="3300"/>
            <w:vAlign w:val="top"/>
          </w:tcPr>
          <w:p>
            <w:pPr>
              <w:keepNext w:val="0"/>
              <w:spacing w:line="252" w:lineRule="auto" w:after="40" w:before="40"/>
            </w:pPr>
            <w:r>
              <w:rPr>
                <w:rFonts w:ascii="Times New Roman" w:hAnsi="Times New Roman"/>
                <w:b w:val="0"/>
                <w:sz w:val="18"/>
              </w:rPr>
              <w:t>Transitions and retrieval</w:t>
            </w:r>
          </w:p>
        </w:tc>
        <w:tc>
          <w:tcPr>
            <w:tcW w:type="dxa" w:w="4050"/>
            <w:vAlign w:val="top"/>
          </w:tcPr>
          <w:p>
            <w:pPr>
              <w:keepNext w:val="0"/>
              <w:spacing w:line="252" w:lineRule="auto" w:after="40" w:before="40"/>
            </w:pPr>
            <w:r>
              <w:rPr>
                <w:rFonts w:ascii="Times New Roman" w:hAnsi="Times New Roman"/>
                <w:b w:val="0"/>
                <w:sz w:val="18"/>
              </w:rPr>
              <w:t>Per-object request charges and declared access count</w:t>
            </w:r>
          </w:p>
        </w:tc>
        <w:tc>
          <w:tcPr>
            <w:tcW w:type="dxa" w:w="2000"/>
            <w:vAlign w:val="top"/>
          </w:tcPr>
          <w:p>
            <w:pPr>
              <w:keepNext w:val="0"/>
              <w:spacing w:line="252" w:lineRule="auto" w:after="40" w:before="40"/>
            </w:pPr>
            <w:r>
              <w:rPr>
                <w:rFonts w:ascii="Times New Roman" w:hAnsi="Times New Roman"/>
                <w:b w:val="0"/>
                <w:sz w:val="18"/>
              </w:rPr>
              <w:t>Workload scenario</w:t>
            </w:r>
          </w:p>
        </w:tc>
      </w:tr>
      <w:tr>
        <w:trPr>
          <w:cantSplit w:val="true"/>
        </w:trPr>
        <w:tc>
          <w:tcPr>
            <w:tcW w:type="dxa" w:w="3300"/>
            <w:vAlign w:val="top"/>
          </w:tcPr>
          <w:p>
            <w:pPr>
              <w:keepNext w:val="0"/>
              <w:spacing w:line="252" w:lineRule="auto" w:after="40" w:before="40"/>
            </w:pPr>
            <w:r>
              <w:rPr>
                <w:rFonts w:ascii="Times New Roman" w:hAnsi="Times New Roman"/>
                <w:b w:val="0"/>
                <w:sz w:val="18"/>
              </w:rPr>
              <w:t>Archive metadata</w:t>
            </w:r>
          </w:p>
        </w:tc>
        <w:tc>
          <w:tcPr>
            <w:tcW w:type="dxa" w:w="4050"/>
            <w:vAlign w:val="top"/>
          </w:tcPr>
          <w:p>
            <w:pPr>
              <w:keepNext w:val="0"/>
              <w:spacing w:line="252" w:lineRule="auto" w:after="40" w:before="40"/>
            </w:pPr>
            <w:r>
              <w:rPr>
                <w:b w:val="0"/>
                <w:sz w:val="18"/>
              </w:rPr>
              <w:t>8 KiB at Standard plus 32 KiB at archive rate per archived object</w:t>
            </w:r>
          </w:p>
        </w:tc>
        <w:tc>
          <w:tcPr>
            <w:tcW w:type="dxa" w:w="2000"/>
            <w:vAlign w:val="top"/>
          </w:tcPr>
          <w:p>
            <w:pPr>
              <w:keepNext w:val="0"/>
              <w:spacing w:line="252" w:lineRule="auto" w:after="40" w:before="40"/>
            </w:pPr>
            <w:r>
              <w:rPr>
                <w:rFonts w:ascii="Times New Roman" w:hAnsi="Times New Roman"/>
                <w:b w:val="0"/>
                <w:sz w:val="18"/>
              </w:rPr>
              <w:t>Included</w:t>
            </w:r>
          </w:p>
        </w:tc>
      </w:tr>
      <w:tr>
        <w:trPr>
          <w:cantSplit w:val="true"/>
        </w:trPr>
        <w:tc>
          <w:tcPr>
            <w:tcW w:type="dxa" w:w="3300"/>
            <w:vAlign w:val="top"/>
          </w:tcPr>
          <w:p>
            <w:pPr>
              <w:keepNext w:val="0"/>
              <w:spacing w:line="252" w:lineRule="auto" w:after="40" w:before="40"/>
            </w:pPr>
            <w:r>
              <w:rPr>
                <w:rFonts w:ascii="Times New Roman" w:hAnsi="Times New Roman"/>
                <w:b w:val="0"/>
                <w:sz w:val="18"/>
              </w:rPr>
              <w:t>Temporary restored copy</w:t>
            </w:r>
          </w:p>
        </w:tc>
        <w:tc>
          <w:tcPr>
            <w:tcW w:type="dxa" w:w="4050"/>
            <w:vAlign w:val="top"/>
          </w:tcPr>
          <w:p>
            <w:pPr>
              <w:keepNext w:val="0"/>
              <w:spacing w:line="252" w:lineRule="auto" w:after="40" w:before="40"/>
            </w:pPr>
            <w:r>
              <w:rPr>
                <w:rFonts w:ascii="Times New Roman" w:hAnsi="Times New Roman"/>
                <w:b w:val="0"/>
                <w:sz w:val="18"/>
              </w:rPr>
              <w:t>One day of Standard storage for each modeled archive access</w:t>
            </w:r>
          </w:p>
        </w:tc>
        <w:tc>
          <w:tcPr>
            <w:tcW w:type="dxa" w:w="2000"/>
            <w:vAlign w:val="top"/>
          </w:tcPr>
          <w:p>
            <w:pPr>
              <w:keepNext w:val="0"/>
              <w:spacing w:line="252" w:lineRule="auto" w:after="40" w:before="40"/>
            </w:pPr>
            <w:r>
              <w:rPr>
                <w:rFonts w:ascii="Times New Roman" w:hAnsi="Times New Roman"/>
                <w:b w:val="0"/>
                <w:sz w:val="18"/>
              </w:rPr>
              <w:t>Scenario assumption</w:t>
            </w:r>
          </w:p>
        </w:tc>
      </w:tr>
      <w:tr>
        <w:trPr>
          <w:cantSplit w:val="true"/>
        </w:trPr>
        <w:tc>
          <w:tcPr>
            <w:tcW w:type="dxa" w:w="3300"/>
            <w:vAlign w:val="top"/>
          </w:tcPr>
          <w:p>
            <w:pPr>
              <w:keepNext w:val="0"/>
              <w:spacing w:line="252" w:lineRule="auto" w:after="40" w:before="40"/>
            </w:pPr>
            <w:r>
              <w:rPr>
                <w:rFonts w:ascii="Times New Roman" w:hAnsi="Times New Roman"/>
                <w:b w:val="0"/>
                <w:sz w:val="18"/>
              </w:rPr>
              <w:t>Excluded costs</w:t>
            </w:r>
          </w:p>
        </w:tc>
        <w:tc>
          <w:tcPr>
            <w:tcW w:type="dxa" w:w="4050"/>
            <w:vAlign w:val="top"/>
          </w:tcPr>
          <w:p>
            <w:pPr>
              <w:keepNext w:val="0"/>
              <w:spacing w:line="252" w:lineRule="auto" w:after="40" w:before="40"/>
            </w:pPr>
            <w:r>
              <w:rPr>
                <w:rFonts w:ascii="Times New Roman" w:hAnsi="Times New Roman"/>
                <w:b w:val="0"/>
                <w:sz w:val="18"/>
              </w:rPr>
              <w:t>Prior-tier exit charges, egress, compute, previews and other services</w:t>
            </w:r>
          </w:p>
        </w:tc>
        <w:tc>
          <w:tcPr>
            <w:tcW w:type="dxa" w:w="2000"/>
            <w:vAlign w:val="top"/>
          </w:tcPr>
          <w:p>
            <w:pPr>
              <w:keepNext w:val="0"/>
              <w:spacing w:line="252" w:lineRule="auto" w:after="40" w:before="40"/>
            </w:pPr>
            <w:r>
              <w:rPr>
                <w:rFonts w:ascii="Times New Roman" w:hAnsi="Times New Roman"/>
                <w:b w:val="0"/>
                <w:sz w:val="18"/>
              </w:rPr>
              <w:t>No actual bill claim</w:t>
            </w:r>
          </w:p>
        </w:tc>
      </w:tr>
    </w:tbl>
    <w:p>
      <w:pPr>
        <w:jc w:val="both"/>
      </w:pPr>
      <w:r>
        <w:rPr>
          <w:rFonts w:ascii="Times New Roman" w:hAnsi="Times New Roman"/>
          <w:b w:val="0"/>
        </w:rPr>
        <w:t>No monthly service spend or measured cloud savings are asserted. A deployment budget and service estimates must be established for the chosen account, region and workload. The comparison in Section 10 demonstrates the implemented simulator on declared synthetic object sizes. It excludes prior-tier exit charges, egress, compute, preview storage and other service overhead.</w:t>
      </w:r>
    </w:p>
    <w:p>
      <w:pPr>
        <w:pStyle w:val="Heading1"/>
      </w:pPr>
      <w:r>
        <w:rPr>
          <w:color w:val="000000"/>
        </w:rPr>
        <w:t>8 Methodology and Implementation Plan</w:t>
      </w:r>
    </w:p>
    <w:p>
      <w:pPr>
        <w:pStyle w:val="Heading2"/>
      </w:pPr>
      <w:r>
        <w:rPr>
          <w:color w:val="000000"/>
        </w:rPr>
        <w:t>8 1 Overall Methodology</w:t>
      </w:r>
    </w:p>
    <w:p>
      <w:pPr>
        <w:jc w:val="both"/>
      </w:pPr>
      <w:r>
        <w:rPr>
          <w:rFonts w:ascii="Times New Roman" w:hAnsi="Times New Roman"/>
          <w:b w:val="0"/>
        </w:rPr>
        <w:t>The project progressed from literature and architecture work in July, through the local X-ray and AWS code in September, to the cancer-imaging study archive on 11 October 2026. V2 replaced image-based retrieval scoring as the main product story with explicit study access constraints, complete sequence sets, clinical linkage and pretrained MRI inspection. The frozen-model approach remains: published weights are used without local training. This report records the current implementation and the validation rerun on 16 October 2026.</w:t>
      </w:r>
    </w:p>
    <w:p>
      <w:pPr>
        <w:pStyle w:val="Heading2"/>
      </w:pPr>
      <w:r>
        <w:rPr>
          <w:color w:val="000000"/>
        </w:rPr>
        <w:t>8 2 Tools and Technologies</w:t>
      </w:r>
    </w:p>
    <w:p>
      <w:pPr>
        <w:keepNext/>
        <w:spacing w:after="80"/>
      </w:pPr>
      <w:r>
        <w:rPr>
          <w:rFonts w:ascii="Times New Roman" w:hAnsi="Times New Roman"/>
          <w:b/>
          <w:sz w:val="21"/>
        </w:rPr>
        <w:t>Table 8. Tools and technologies.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tblHeader w:val="true"/>
        </w:trPr>
        <w:tc>
          <w:tcPr>
            <w:tcW w:type="dxa" w:w="3120"/>
            <w:vAlign w:val="center"/>
            <w:shd w:fill="D9EAF7"/>
          </w:tcPr>
          <w:p>
            <w:pPr>
              <w:keepNext/>
              <w:spacing w:line="252" w:lineRule="auto" w:before="40" w:after="40"/>
            </w:pPr>
            <w:r>
              <w:rPr>
                <w:b/>
                <w:sz w:val="18"/>
              </w:rPr>
              <w:t>Technology</w:t>
            </w:r>
          </w:p>
        </w:tc>
        <w:tc>
          <w:tcPr>
            <w:tcW w:type="dxa" w:w="3120"/>
            <w:vAlign w:val="center"/>
            <w:shd w:fill="D9EAF7"/>
          </w:tcPr>
          <w:p>
            <w:pPr>
              <w:keepNext/>
              <w:spacing w:line="252" w:lineRule="auto" w:before="40" w:after="40"/>
            </w:pPr>
            <w:r>
              <w:rPr>
                <w:b/>
                <w:sz w:val="18"/>
              </w:rPr>
              <w:t>Use</w:t>
            </w:r>
          </w:p>
        </w:tc>
        <w:tc>
          <w:tcPr>
            <w:tcW w:type="dxa" w:w="3120"/>
            <w:vAlign w:val="center"/>
            <w:shd w:fill="D9EAF7"/>
          </w:tcPr>
          <w:p>
            <w:pPr>
              <w:keepNext/>
              <w:spacing w:line="252" w:lineRule="auto" w:before="40" w:after="40"/>
            </w:pPr>
            <w:r>
              <w:rPr>
                <w:b/>
                <w:sz w:val="18"/>
              </w:rPr>
              <w:t>Current evidence</w:t>
            </w:r>
          </w:p>
        </w:tc>
      </w:tr>
      <w:tr>
        <w:trPr>
          <w:cantSplit w:val="true"/>
        </w:trPr>
        <w:tc>
          <w:tcPr>
            <w:tcW w:type="dxa" w:w="3120"/>
            <w:vAlign w:val="top"/>
          </w:tcPr>
          <w:p>
            <w:pPr>
              <w:keepNext w:val="0"/>
              <w:spacing w:line="252" w:lineRule="auto" w:after="40" w:before="40"/>
            </w:pPr>
            <w:r>
              <w:rPr>
                <w:rFonts w:ascii="Times New Roman" w:hAnsi="Times New Roman"/>
                <w:b w:val="0"/>
                <w:sz w:val="18"/>
              </w:rPr>
              <w:t>React 18 Vite Tailwind Recharts</w:t>
            </w:r>
          </w:p>
        </w:tc>
        <w:tc>
          <w:tcPr>
            <w:tcW w:type="dxa" w:w="3120"/>
            <w:vAlign w:val="top"/>
          </w:tcPr>
          <w:p>
            <w:pPr>
              <w:keepNext w:val="0"/>
              <w:spacing w:line="252" w:lineRule="auto" w:after="40" w:before="40"/>
            </w:pPr>
            <w:r>
              <w:rPr>
                <w:rFonts w:ascii="Times New Roman" w:hAnsi="Times New Roman"/>
                <w:b w:val="0"/>
                <w:sz w:val="18"/>
              </w:rPr>
              <w:t>Archive workspace, routing and cost visualizations</w:t>
            </w:r>
          </w:p>
        </w:tc>
        <w:tc>
          <w:tcPr>
            <w:tcW w:type="dxa" w:w="3120"/>
            <w:vAlign w:val="top"/>
          </w:tcPr>
          <w:p>
            <w:pPr>
              <w:keepNext w:val="0"/>
              <w:spacing w:line="252" w:lineRule="auto" w:after="40" w:before="40"/>
            </w:pPr>
            <w:r>
              <w:rPr>
                <w:rFonts w:ascii="Times New Roman" w:hAnsi="Times New Roman"/>
                <w:b w:val="0"/>
                <w:sz w:val="18"/>
              </w:rPr>
              <w:t>Production build passed 16 October 2026</w:t>
            </w:r>
          </w:p>
        </w:tc>
      </w:tr>
      <w:tr>
        <w:trPr>
          <w:cantSplit w:val="true"/>
        </w:trPr>
        <w:tc>
          <w:tcPr>
            <w:tcW w:type="dxa" w:w="3120"/>
            <w:vAlign w:val="top"/>
          </w:tcPr>
          <w:p>
            <w:pPr>
              <w:keepNext w:val="0"/>
              <w:spacing w:line="252" w:lineRule="auto" w:after="40" w:before="40"/>
            </w:pPr>
            <w:r>
              <w:rPr>
                <w:rFonts w:ascii="Times New Roman" w:hAnsi="Times New Roman"/>
                <w:b w:val="0"/>
                <w:sz w:val="18"/>
              </w:rPr>
              <w:t>Python Flask SQLite</w:t>
            </w:r>
          </w:p>
        </w:tc>
        <w:tc>
          <w:tcPr>
            <w:tcW w:type="dxa" w:w="3120"/>
            <w:vAlign w:val="top"/>
          </w:tcPr>
          <w:p>
            <w:pPr>
              <w:keepNext w:val="0"/>
              <w:spacing w:line="252" w:lineRule="auto" w:after="40" w:before="40"/>
            </w:pPr>
            <w:r>
              <w:rPr>
                <w:rFonts w:ascii="Times New Roman" w:hAnsi="Times New Roman"/>
                <w:b w:val="0"/>
                <w:sz w:val="18"/>
              </w:rPr>
              <w:t>Persistent local archive, APIs and append-only events</w:t>
            </w:r>
          </w:p>
        </w:tc>
        <w:tc>
          <w:tcPr>
            <w:tcW w:type="dxa" w:w="3120"/>
            <w:vAlign w:val="top"/>
          </w:tcPr>
          <w:p>
            <w:pPr>
              <w:keepNext w:val="0"/>
              <w:spacing w:line="252" w:lineRule="auto" w:after="40" w:before="40"/>
            </w:pPr>
            <w:r>
              <w:rPr>
                <w:rFonts w:ascii="Times New Roman" w:hAnsi="Times New Roman"/>
                <w:b w:val="0"/>
                <w:sz w:val="18"/>
              </w:rPr>
              <w:t>28 regression cases passed</w:t>
            </w:r>
          </w:p>
        </w:tc>
      </w:tr>
      <w:tr>
        <w:trPr>
          <w:cantSplit w:val="true"/>
        </w:trPr>
        <w:tc>
          <w:tcPr>
            <w:tcW w:type="dxa" w:w="3120"/>
            <w:vAlign w:val="top"/>
          </w:tcPr>
          <w:p>
            <w:pPr>
              <w:keepNext w:val="0"/>
              <w:spacing w:line="252" w:lineRule="auto" w:after="40" w:before="40"/>
            </w:pPr>
            <w:r>
              <w:rPr>
                <w:rFonts w:ascii="Times New Roman" w:hAnsi="Times New Roman"/>
                <w:b w:val="0"/>
                <w:sz w:val="18"/>
              </w:rPr>
              <w:t>NiBabel pydicom NumPy Pillow</w:t>
            </w:r>
          </w:p>
        </w:tc>
        <w:tc>
          <w:tcPr>
            <w:tcW w:type="dxa" w:w="3120"/>
            <w:vAlign w:val="top"/>
          </w:tcPr>
          <w:p>
            <w:pPr>
              <w:keepNext w:val="0"/>
              <w:spacing w:line="252" w:lineRule="auto" w:after="40" w:before="40"/>
            </w:pPr>
            <w:r>
              <w:rPr>
                <w:rFonts w:ascii="Times New Roman" w:hAnsi="Times New Roman"/>
                <w:b w:val="0"/>
                <w:sz w:val="18"/>
              </w:rPr>
              <w:t>File validation, geometry, arrays and previews</w:t>
            </w:r>
          </w:p>
        </w:tc>
        <w:tc>
          <w:tcPr>
            <w:tcW w:type="dxa" w:w="3120"/>
            <w:vAlign w:val="top"/>
          </w:tcPr>
          <w:p>
            <w:pPr>
              <w:keepNext w:val="0"/>
              <w:spacing w:line="252" w:lineRule="auto" w:after="40" w:before="40"/>
            </w:pPr>
            <w:r>
              <w:rPr>
                <w:rFonts w:ascii="Times New Roman" w:hAnsi="Times New Roman"/>
                <w:b w:val="0"/>
                <w:sz w:val="18"/>
              </w:rPr>
              <w:t>Synthetic NIfTI and DICOM fixtures tested</w:t>
            </w:r>
          </w:p>
        </w:tc>
      </w:tr>
      <w:tr>
        <w:trPr>
          <w:cantSplit w:val="true"/>
        </w:trPr>
        <w:tc>
          <w:tcPr>
            <w:tcW w:type="dxa" w:w="3120"/>
            <w:vAlign w:val="top"/>
          </w:tcPr>
          <w:p>
            <w:pPr>
              <w:keepNext w:val="0"/>
              <w:spacing w:line="252" w:lineRule="auto" w:after="40" w:before="40"/>
            </w:pPr>
            <w:r>
              <w:rPr>
                <w:rFonts w:ascii="Times New Roman" w:hAnsi="Times New Roman"/>
                <w:b w:val="0"/>
                <w:sz w:val="18"/>
              </w:rPr>
              <w:t>MONAI PyTorch</w:t>
            </w:r>
          </w:p>
        </w:tc>
        <w:tc>
          <w:tcPr>
            <w:tcW w:type="dxa" w:w="3120"/>
            <w:vAlign w:val="top"/>
          </w:tcPr>
          <w:p>
            <w:pPr>
              <w:keepNext w:val="0"/>
              <w:spacing w:line="252" w:lineRule="auto" w:after="40" w:before="40"/>
            </w:pPr>
            <w:r>
              <w:rPr>
                <w:rFonts w:ascii="Times New Roman" w:hAnsi="Times New Roman"/>
                <w:b w:val="0"/>
                <w:sz w:val="18"/>
              </w:rPr>
              <w:t>Frozen BraTS SegResNet adapter</w:t>
            </w:r>
          </w:p>
        </w:tc>
        <w:tc>
          <w:tcPr>
            <w:tcW w:type="dxa" w:w="3120"/>
            <w:vAlign w:val="top"/>
          </w:tcPr>
          <w:p>
            <w:pPr>
              <w:keepNext w:val="0"/>
              <w:spacing w:line="252" w:lineRule="auto" w:after="40" w:before="40"/>
            </w:pPr>
            <w:r>
              <w:rPr>
                <w:rFonts w:ascii="Times New Roman" w:hAnsi="Times New Roman"/>
                <w:b w:val="0"/>
                <w:sz w:val="18"/>
              </w:rPr>
              <w:t>Bundle 0.5.4; recorded runtime MONAI 1.5.2 and torch 2.11.0 CPU</w:t>
            </w:r>
          </w:p>
        </w:tc>
      </w:tr>
      <w:tr>
        <w:trPr>
          <w:cantSplit w:val="true"/>
        </w:trPr>
        <w:tc>
          <w:tcPr>
            <w:tcW w:type="dxa" w:w="3120"/>
            <w:vAlign w:val="top"/>
          </w:tcPr>
          <w:p>
            <w:pPr>
              <w:keepNext w:val="0"/>
              <w:spacing w:line="252" w:lineRule="auto" w:after="40" w:before="40"/>
            </w:pPr>
            <w:r>
              <w:rPr>
                <w:rFonts w:ascii="Times New Roman" w:hAnsi="Times New Roman"/>
                <w:b w:val="0"/>
                <w:sz w:val="18"/>
              </w:rPr>
              <w:t>SAM boto3 AWS services</w:t>
            </w:r>
          </w:p>
        </w:tc>
        <w:tc>
          <w:tcPr>
            <w:tcW w:type="dxa" w:w="3120"/>
            <w:vAlign w:val="top"/>
          </w:tcPr>
          <w:p>
            <w:pPr>
              <w:keepNext w:val="0"/>
              <w:spacing w:line="252" w:lineRule="auto" w:after="40" w:before="40"/>
            </w:pPr>
            <w:r>
              <w:rPr>
                <w:rFonts w:ascii="Times New Roman" w:hAnsi="Times New Roman"/>
                <w:b w:val="0"/>
                <w:sz w:val="18"/>
              </w:rPr>
              <w:t>Retained v1 cloud API, event inference and infrastructure</w:t>
            </w:r>
          </w:p>
        </w:tc>
        <w:tc>
          <w:tcPr>
            <w:tcW w:type="dxa" w:w="3120"/>
            <w:vAlign w:val="top"/>
          </w:tcPr>
          <w:p>
            <w:pPr>
              <w:keepNext w:val="0"/>
              <w:spacing w:line="252" w:lineRule="auto" w:after="40" w:before="40"/>
            </w:pPr>
            <w:r>
              <w:rPr>
                <w:rFonts w:ascii="Times New Roman" w:hAnsi="Times New Roman"/>
                <w:b w:val="0"/>
                <w:sz w:val="18"/>
              </w:rPr>
              <w:t>Mocked cloud tests; live deployment pending</w:t>
            </w:r>
          </w:p>
        </w:tc>
      </w:tr>
      <w:tr>
        <w:trPr>
          <w:cantSplit w:val="true"/>
        </w:trPr>
        <w:tc>
          <w:tcPr>
            <w:tcW w:type="dxa" w:w="3120"/>
            <w:vAlign w:val="top"/>
          </w:tcPr>
          <w:p>
            <w:pPr>
              <w:keepNext w:val="0"/>
              <w:spacing w:line="252" w:lineRule="auto" w:after="40" w:before="40"/>
            </w:pPr>
            <w:r>
              <w:rPr>
                <w:rFonts w:ascii="Times New Roman" w:hAnsi="Times New Roman"/>
                <w:b w:val="0"/>
                <w:sz w:val="18"/>
              </w:rPr>
              <w:t>Git unittest</w:t>
            </w:r>
          </w:p>
        </w:tc>
        <w:tc>
          <w:tcPr>
            <w:tcW w:type="dxa" w:w="3120"/>
            <w:vAlign w:val="top"/>
          </w:tcPr>
          <w:p>
            <w:pPr>
              <w:keepNext w:val="0"/>
              <w:spacing w:line="252" w:lineRule="auto" w:after="40" w:before="40"/>
            </w:pPr>
            <w:r>
              <w:rPr>
                <w:rFonts w:ascii="Times New Roman" w:hAnsi="Times New Roman"/>
                <w:b w:val="0"/>
                <w:sz w:val="18"/>
              </w:rPr>
              <w:t>Source history and behavior verification</w:t>
            </w:r>
          </w:p>
        </w:tc>
        <w:tc>
          <w:tcPr>
            <w:tcW w:type="dxa" w:w="3120"/>
            <w:vAlign w:val="top"/>
          </w:tcPr>
          <w:p>
            <w:pPr>
              <w:keepNext w:val="0"/>
              <w:spacing w:line="252" w:lineRule="auto" w:after="40" w:before="40"/>
            </w:pPr>
            <w:r>
              <w:rPr>
                <w:rFonts w:ascii="Times New Roman" w:hAnsi="Times New Roman"/>
                <w:b w:val="0"/>
                <w:sz w:val="18"/>
              </w:rPr>
              <w:t>V2 commits dated 11 October 2026; tests rerun 16 October</w:t>
            </w:r>
          </w:p>
        </w:tc>
      </w:tr>
    </w:tbl>
    <w:p/>
    <w:p>
      <w:pPr>
        <w:pStyle w:val="Heading2"/>
      </w:pPr>
      <w:r>
        <w:rPr>
          <w:color w:val="000000"/>
        </w:rPr>
        <w:t>8 3 Step by Step Implementation Plan</w:t>
      </w:r>
    </w:p>
    <w:p>
      <w:pPr/>
      <w:r>
        <w:rPr>
          <w:rFonts w:ascii="Times New Roman" w:hAnsi="Times New Roman"/>
          <w:b w:val="0"/>
        </w:rPr>
        <w:t>Step 1 Scope and architecture. Define complete-study storage optimization as the goal; record v2 requirements and dashboard behavior. Status: documented in the PRD, dashboard specification and implementation record.</w:t>
      </w:r>
    </w:p>
    <w:p>
      <w:pPr/>
      <w:r>
        <w:rPr>
          <w:rFonts w:ascii="Times New Roman" w:hAnsi="Times New Roman"/>
          <w:b w:val="0"/>
        </w:rPr>
        <w:t>Step 2 Input pipeline. Implement DICOM/NIfTI uploads, explicit sequence roles, file integrity and exact clinical joins. Status: implemented and regression-tested with synthetic fixtures; real cohort acquisition pending.</w:t>
      </w:r>
    </w:p>
    <w:p>
      <w:pPr/>
      <w:r>
        <w:rPr>
          <w:rFonts w:ascii="Times New Roman" w:hAnsi="Times New Roman"/>
          <w:b w:val="0"/>
        </w:rPr>
        <w:t>Step 3 Research inspection. Implement real NIfTI previews and a frozen MONAI SegResNet worker with pinned weights and preprocessing gates. Status: implemented; repository synthetic compatibility evidence available; clinical evaluation pending.</w:t>
      </w:r>
    </w:p>
    <w:p>
      <w:pPr/>
      <w:r>
        <w:rPr>
          <w:rFonts w:ascii="Times New Roman" w:hAnsi="Times New Roman"/>
          <w:b w:val="0"/>
        </w:rPr>
        <w:t>Step 4 Policy and operations. Implement access constraints, component costs, guarded recommendations, version-checked local placement, bundle restore and audit. Status: implemented and tested locally.</w:t>
      </w:r>
    </w:p>
    <w:p>
      <w:pPr/>
      <w:r>
        <w:rPr>
          <w:rFonts w:ascii="Times New Roman" w:hAnsi="Times New Roman"/>
          <w:b w:val="0"/>
        </w:rPr>
        <w:t>Step 5 Archive interface. Deliver overview, study explorer and detail, MRI workbench, imports, quality queue, operations and costs, with responsive navigation and reduced-motion support. Status: implemented; production build passed.</w:t>
      </w:r>
    </w:p>
    <w:p>
      <w:pPr/>
      <w:r>
        <w:rPr>
          <w:rFonts w:ascii="Times New Roman" w:hAnsi="Times New Roman"/>
          <w:b w:val="0"/>
        </w:rPr>
        <w:t>Step 6 Verification. Run the complete regression suite and reproduce a synthetic sample cost scenario. Status: 28 tests passed and sample comparison reproduced on 16 October 2026. Model cohort metrics remain pending.</w:t>
      </w:r>
    </w:p>
    <w:p>
      <w:pPr/>
      <w:r>
        <w:rPr>
          <w:rFonts w:ascii="Times New Roman" w:hAnsi="Times New Roman"/>
          <w:b w:val="0"/>
        </w:rPr>
        <w:t>Step 7 Cloud and evaluation. Acquire permitted data, assess segmentation accuracy and preprocessing, implement v2 study cloud operations, deploy and capture actual transitions, restores, monitoring and billing. Status: future milestones; retained v1 cloud implementation is not evidence of completed v2 delivery.</w:t>
      </w:r>
    </w:p>
    <w:p>
      <w:pPr>
        <w:pStyle w:val="Heading2"/>
      </w:pPr>
      <w:r>
        <w:rPr>
          <w:color w:val="000000"/>
        </w:rPr>
        <w:t>8 4 Evaluation Metrics</w:t>
      </w:r>
    </w:p>
    <w:p>
      <w:r>
        <w:rPr>
          <w:rFonts w:ascii="Times New Roman" w:hAnsi="Times New Roman"/>
          <w:b w:val="0"/>
        </w:rPr>
        <w:t>Current metrics emphasize functional correctness, provenance and explicit model scope. Cohort accuracy and live-cloud metrics are future evaluation requirements rather than reported achievements.</w:t>
      </w:r>
    </w:p>
    <w:p>
      <w:pPr>
        <w:keepNext/>
        <w:spacing w:after="80"/>
      </w:pPr>
      <w:r>
        <w:rPr>
          <w:rFonts w:ascii="Times New Roman" w:hAnsi="Times New Roman"/>
          <w:b/>
          <w:sz w:val="21"/>
        </w:rPr>
        <w:t>Table 9. Evaluation metrics.</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4950"/>
        <w:gridCol w:w="2200"/>
      </w:tblGrid>
      <w:tr>
        <w:trPr>
          <w:tblHeader w:val="true"/>
        </w:trPr>
        <w:tc>
          <w:tcPr>
            <w:tcW w:type="dxa" w:w="2200"/>
            <w:shd w:val="clear" w:color="auto" w:fill="D9EAF7"/>
            <w:vAlign w:val="center"/>
          </w:tcPr>
          <w:p>
            <w:pPr>
              <w:keepNext/>
              <w:spacing w:line="252" w:lineRule="auto" w:after="40" w:before="40"/>
            </w:pPr>
            <w:r>
              <w:rPr>
                <w:rFonts w:ascii="Times New Roman" w:hAnsi="Times New Roman"/>
                <w:b/>
                <w:sz w:val="18"/>
              </w:rPr>
              <w:t>Metric</w:t>
            </w:r>
          </w:p>
        </w:tc>
        <w:tc>
          <w:tcPr>
            <w:tcW w:type="dxa" w:w="4950"/>
            <w:shd w:val="clear" w:color="auto" w:fill="D9EAF7"/>
            <w:vAlign w:val="center"/>
          </w:tcPr>
          <w:p>
            <w:pPr>
              <w:keepNext/>
              <w:spacing w:line="252" w:lineRule="auto" w:after="40" w:before="40"/>
            </w:pPr>
            <w:r>
              <w:rPr>
                <w:rFonts w:ascii="Times New Roman" w:hAnsi="Times New Roman"/>
                <w:b/>
                <w:sz w:val="18"/>
              </w:rPr>
              <w:t>Method</w:t>
            </w:r>
          </w:p>
        </w:tc>
        <w:tc>
          <w:tcPr>
            <w:tcW w:type="dxa" w:w="2200"/>
            <w:shd w:val="clear" w:color="auto" w:fill="D9EAF7"/>
            <w:vAlign w:val="center"/>
          </w:tcPr>
          <w:p>
            <w:pPr>
              <w:keepNext/>
              <w:spacing w:line="252" w:lineRule="auto" w:after="40" w:before="40"/>
            </w:pPr>
            <w:r>
              <w:rPr>
                <w:rFonts w:ascii="Times New Roman" w:hAnsi="Times New Roman"/>
                <w:b/>
                <w:sz w:val="18"/>
              </w:rPr>
              <w:t>Current result or boundary</w:t>
            </w:r>
          </w:p>
        </w:tc>
      </w:tr>
      <w:tr>
        <w:trPr>
          <w:cantSplit w:val="true"/>
        </w:trPr>
        <w:tc>
          <w:tcPr>
            <w:tcW w:type="dxa" w:w="2200"/>
            <w:vAlign w:val="top"/>
          </w:tcPr>
          <w:p>
            <w:pPr>
              <w:keepNext w:val="0"/>
              <w:spacing w:line="252" w:lineRule="auto" w:after="40" w:before="40"/>
            </w:pPr>
            <w:r>
              <w:rPr>
                <w:rFonts w:ascii="Times New Roman" w:hAnsi="Times New Roman"/>
                <w:b w:val="0"/>
                <w:sz w:val="18"/>
              </w:rPr>
              <w:t>Functional regression</w:t>
            </w:r>
          </w:p>
        </w:tc>
        <w:tc>
          <w:tcPr>
            <w:tcW w:type="dxa" w:w="4950"/>
            <w:vAlign w:val="top"/>
          </w:tcPr>
          <w:p>
            <w:pPr>
              <w:keepNext w:val="0"/>
              <w:spacing w:line="252" w:lineRule="auto" w:after="40" w:before="40"/>
            </w:pPr>
            <w:r>
              <w:rPr>
                <w:rFonts w:ascii="Times New Roman" w:hAnsi="Times New Roman"/>
                <w:b w:val="0"/>
                <w:sz w:val="18"/>
              </w:rPr>
              <w:t>Run complete Python unittest discovery</w:t>
            </w:r>
          </w:p>
        </w:tc>
        <w:tc>
          <w:tcPr>
            <w:tcW w:type="dxa" w:w="2200"/>
            <w:vAlign w:val="top"/>
          </w:tcPr>
          <w:p>
            <w:pPr>
              <w:keepNext w:val="0"/>
              <w:spacing w:line="252" w:lineRule="auto" w:after="40" w:before="40"/>
            </w:pPr>
            <w:r>
              <w:rPr>
                <w:rFonts w:ascii="Times New Roman" w:hAnsi="Times New Roman"/>
                <w:b w:val="0"/>
                <w:sz w:val="18"/>
              </w:rPr>
              <w:t>28 of 28 passed on 16 October 2026</w:t>
            </w:r>
          </w:p>
        </w:tc>
      </w:tr>
      <w:tr>
        <w:trPr>
          <w:cantSplit w:val="true"/>
        </w:trPr>
        <w:tc>
          <w:tcPr>
            <w:tcW w:type="dxa" w:w="2200"/>
            <w:vAlign w:val="top"/>
          </w:tcPr>
          <w:p>
            <w:pPr>
              <w:keepNext w:val="0"/>
              <w:spacing w:line="252" w:lineRule="auto" w:after="40" w:before="40"/>
            </w:pPr>
            <w:r>
              <w:rPr>
                <w:rFonts w:ascii="Times New Roman" w:hAnsi="Times New Roman"/>
                <w:b w:val="0"/>
                <w:sz w:val="18"/>
              </w:rPr>
              <w:t>Frontend build</w:t>
            </w:r>
          </w:p>
        </w:tc>
        <w:tc>
          <w:tcPr>
            <w:tcW w:type="dxa" w:w="4950"/>
            <w:vAlign w:val="top"/>
          </w:tcPr>
          <w:p>
            <w:pPr>
              <w:keepNext w:val="0"/>
              <w:spacing w:line="252" w:lineRule="auto" w:after="40" w:before="40"/>
            </w:pPr>
            <w:r>
              <w:rPr>
                <w:rFonts w:ascii="Times New Roman" w:hAnsi="Times New Roman"/>
                <w:b w:val="0"/>
                <w:sz w:val="18"/>
              </w:rPr>
              <w:t>Build React/Vite production bundle</w:t>
            </w:r>
          </w:p>
        </w:tc>
        <w:tc>
          <w:tcPr>
            <w:tcW w:type="dxa" w:w="2200"/>
            <w:vAlign w:val="top"/>
          </w:tcPr>
          <w:p>
            <w:pPr>
              <w:keepNext w:val="0"/>
              <w:spacing w:line="252" w:lineRule="auto" w:after="40" w:before="40"/>
            </w:pPr>
            <w:r>
              <w:rPr>
                <w:rFonts w:ascii="Times New Roman" w:hAnsi="Times New Roman"/>
                <w:b w:val="0"/>
                <w:sz w:val="18"/>
              </w:rPr>
              <w:t>Passed on 16 October 2026</w:t>
            </w:r>
          </w:p>
        </w:tc>
      </w:tr>
      <w:tr>
        <w:trPr>
          <w:cantSplit w:val="true"/>
        </w:trPr>
        <w:tc>
          <w:tcPr>
            <w:tcW w:type="dxa" w:w="2200"/>
            <w:vAlign w:val="top"/>
          </w:tcPr>
          <w:p>
            <w:pPr>
              <w:keepNext w:val="0"/>
              <w:spacing w:line="252" w:lineRule="auto" w:after="40" w:before="40"/>
            </w:pPr>
            <w:r>
              <w:rPr>
                <w:rFonts w:ascii="Times New Roman" w:hAnsi="Times New Roman"/>
                <w:b w:val="0"/>
                <w:sz w:val="18"/>
              </w:rPr>
              <w:t>Import integrity</w:t>
            </w:r>
          </w:p>
        </w:tc>
        <w:tc>
          <w:tcPr>
            <w:tcW w:type="dxa" w:w="4950"/>
            <w:vAlign w:val="top"/>
          </w:tcPr>
          <w:p>
            <w:pPr>
              <w:keepNext w:val="0"/>
              <w:spacing w:line="252" w:lineRule="auto" w:after="40" w:before="40"/>
            </w:pPr>
            <w:r>
              <w:rPr>
                <w:rFonts w:ascii="Times New Roman" w:hAnsi="Times New Roman"/>
                <w:b w:val="0"/>
                <w:sz w:val="18"/>
              </w:rPr>
              <w:t>Parse files, check identity and hashes, reject malformed inputs</w:t>
            </w:r>
          </w:p>
        </w:tc>
        <w:tc>
          <w:tcPr>
            <w:tcW w:type="dxa" w:w="2200"/>
            <w:vAlign w:val="top"/>
          </w:tcPr>
          <w:p>
            <w:pPr>
              <w:keepNext w:val="0"/>
              <w:spacing w:line="252" w:lineRule="auto" w:after="40" w:before="40"/>
            </w:pPr>
            <w:r>
              <w:rPr>
                <w:rFonts w:ascii="Times New Roman" w:hAnsi="Times New Roman"/>
                <w:b w:val="0"/>
                <w:sz w:val="18"/>
              </w:rPr>
              <w:t>Fixture tests passed</w:t>
            </w:r>
          </w:p>
        </w:tc>
      </w:tr>
      <w:tr>
        <w:trPr>
          <w:cantSplit w:val="true"/>
        </w:trPr>
        <w:tc>
          <w:tcPr>
            <w:tcW w:type="dxa" w:w="2200"/>
            <w:vAlign w:val="top"/>
          </w:tcPr>
          <w:p>
            <w:pPr>
              <w:keepNext w:val="0"/>
              <w:spacing w:line="252" w:lineRule="auto" w:after="40" w:before="40"/>
            </w:pPr>
            <w:r>
              <w:rPr>
                <w:rFonts w:ascii="Times New Roman" w:hAnsi="Times New Roman"/>
                <w:b w:val="0"/>
                <w:sz w:val="18"/>
              </w:rPr>
              <w:t>Constraint correctness</w:t>
            </w:r>
          </w:p>
        </w:tc>
        <w:tc>
          <w:tcPr>
            <w:tcW w:type="dxa" w:w="4950"/>
            <w:vAlign w:val="top"/>
          </w:tcPr>
          <w:p>
            <w:pPr>
              <w:keepNext w:val="0"/>
              <w:spacing w:line="252" w:lineRule="auto" w:after="40" w:before="40"/>
            </w:pPr>
            <w:r>
              <w:rPr>
                <w:rFonts w:ascii="Times New Roman" w:hAnsi="Times New Roman"/>
                <w:b w:val="0"/>
                <w:sz w:val="18"/>
              </w:rPr>
              <w:t>Test holds, access limits, clinical/sequence gaps and analysis state</w:t>
            </w:r>
          </w:p>
        </w:tc>
        <w:tc>
          <w:tcPr>
            <w:tcW w:type="dxa" w:w="2200"/>
            <w:vAlign w:val="top"/>
          </w:tcPr>
          <w:p>
            <w:pPr>
              <w:keepNext w:val="0"/>
              <w:spacing w:line="252" w:lineRule="auto" w:after="40" w:before="40"/>
            </w:pPr>
            <w:r>
              <w:rPr>
                <w:rFonts w:ascii="Times New Roman" w:hAnsi="Times New Roman"/>
                <w:b w:val="0"/>
                <w:sz w:val="18"/>
              </w:rPr>
              <w:t>Guard tests passed; no clinical safety measurement</w:t>
            </w:r>
          </w:p>
        </w:tc>
      </w:tr>
      <w:tr>
        <w:trPr>
          <w:cantSplit w:val="true"/>
        </w:trPr>
        <w:tc>
          <w:tcPr>
            <w:tcW w:type="dxa" w:w="2200"/>
            <w:vAlign w:val="top"/>
          </w:tcPr>
          <w:p>
            <w:pPr>
              <w:keepNext w:val="0"/>
              <w:spacing w:line="252" w:lineRule="auto" w:after="40" w:before="40"/>
            </w:pPr>
            <w:r>
              <w:rPr>
                <w:rFonts w:ascii="Times New Roman" w:hAnsi="Times New Roman"/>
                <w:b w:val="0"/>
                <w:sz w:val="18"/>
              </w:rPr>
              <w:t>Cost arithmetic</w:t>
            </w:r>
          </w:p>
        </w:tc>
        <w:tc>
          <w:tcPr>
            <w:tcW w:type="dxa" w:w="4950"/>
            <w:vAlign w:val="top"/>
          </w:tcPr>
          <w:p>
            <w:pPr>
              <w:keepNext w:val="0"/>
              <w:spacing w:line="252" w:lineRule="auto" w:after="40" w:before="40"/>
            </w:pPr>
            <w:r>
              <w:rPr>
                <w:rFonts w:ascii="Times New Roman" w:hAnsi="Times New Roman"/>
                <w:b w:val="0"/>
                <w:sz w:val="18"/>
              </w:rPr>
              <w:t>Sum storage, transition, retrieval, metadata and temporary copy</w:t>
            </w:r>
          </w:p>
        </w:tc>
        <w:tc>
          <w:tcPr>
            <w:tcW w:type="dxa" w:w="2200"/>
            <w:vAlign w:val="top"/>
          </w:tcPr>
          <w:p>
            <w:pPr>
              <w:keepNext w:val="0"/>
              <w:spacing w:line="252" w:lineRule="auto" w:after="40" w:before="40"/>
            </w:pPr>
            <w:r>
              <w:rPr>
                <w:rFonts w:ascii="Times New Roman" w:hAnsi="Times New Roman"/>
                <w:b w:val="0"/>
                <w:sz w:val="18"/>
              </w:rPr>
              <w:t>Totals tested; synthetic scenario reproduced</w:t>
            </w:r>
          </w:p>
        </w:tc>
      </w:tr>
      <w:tr>
        <w:trPr>
          <w:cantSplit w:val="true"/>
        </w:trPr>
        <w:tc>
          <w:tcPr>
            <w:tcW w:type="dxa" w:w="2200"/>
            <w:vAlign w:val="top"/>
          </w:tcPr>
          <w:p>
            <w:pPr>
              <w:keepNext w:val="0"/>
              <w:spacing w:line="252" w:lineRule="auto" w:after="40" w:before="40"/>
            </w:pPr>
            <w:r>
              <w:rPr>
                <w:rFonts w:ascii="Times New Roman" w:hAnsi="Times New Roman"/>
                <w:b w:val="0"/>
                <w:sz w:val="18"/>
              </w:rPr>
              <w:t>MRI outputs</w:t>
            </w:r>
          </w:p>
        </w:tc>
        <w:tc>
          <w:tcPr>
            <w:tcW w:type="dxa" w:w="4950"/>
            <w:vAlign w:val="top"/>
          </w:tcPr>
          <w:p>
            <w:pPr>
              <w:keepNext w:val="0"/>
              <w:spacing w:line="252" w:lineRule="auto" w:after="40" w:before="40"/>
            </w:pPr>
            <w:r>
              <w:rPr>
                <w:rFonts w:ascii="Times New Roman" w:hAnsi="Times New Roman"/>
                <w:b w:val="0"/>
                <w:sz w:val="18"/>
              </w:rPr>
              <w:t>Check masks, volumes and provenance on synthetic inputs</w:t>
            </w:r>
          </w:p>
        </w:tc>
        <w:tc>
          <w:tcPr>
            <w:tcW w:type="dxa" w:w="2200"/>
            <w:vAlign w:val="top"/>
          </w:tcPr>
          <w:p>
            <w:pPr>
              <w:keepNext w:val="0"/>
              <w:spacing w:line="252" w:lineRule="auto" w:after="40" w:before="40"/>
            </w:pPr>
            <w:r>
              <w:rPr>
                <w:rFonts w:ascii="Times New Roman" w:hAnsi="Times New Roman"/>
                <w:b w:val="0"/>
                <w:sz w:val="18"/>
              </w:rPr>
              <w:t>Functional record available; Dice/HD95 pending</w:t>
            </w:r>
          </w:p>
        </w:tc>
      </w:tr>
      <w:tr>
        <w:trPr>
          <w:cantSplit w:val="true"/>
        </w:trPr>
        <w:tc>
          <w:tcPr>
            <w:tcW w:type="dxa" w:w="2200"/>
            <w:vAlign w:val="top"/>
          </w:tcPr>
          <w:p>
            <w:pPr>
              <w:keepNext w:val="0"/>
              <w:spacing w:line="252" w:lineRule="auto" w:after="40" w:before="40"/>
            </w:pPr>
            <w:r>
              <w:rPr>
                <w:rFonts w:ascii="Times New Roman" w:hAnsi="Times New Roman"/>
                <w:b w:val="0"/>
                <w:sz w:val="18"/>
              </w:rPr>
              <w:t>Live cloud placement and spend</w:t>
            </w:r>
          </w:p>
        </w:tc>
        <w:tc>
          <w:tcPr>
            <w:tcW w:type="dxa" w:w="4950"/>
            <w:vAlign w:val="top"/>
          </w:tcPr>
          <w:p>
            <w:pPr>
              <w:keepNext w:val="0"/>
              <w:spacing w:line="252" w:lineRule="auto" w:after="40" w:before="40"/>
            </w:pPr>
            <w:r>
              <w:rPr>
                <w:rFonts w:ascii="Times New Roman" w:hAnsi="Times New Roman"/>
                <w:b w:val="0"/>
                <w:sz w:val="18"/>
              </w:rPr>
              <w:t>Observe real S3 state, restores and AWS billing</w:t>
            </w:r>
          </w:p>
        </w:tc>
        <w:tc>
          <w:tcPr>
            <w:tcW w:type="dxa" w:w="2200"/>
            <w:vAlign w:val="top"/>
          </w:tcPr>
          <w:p>
            <w:pPr>
              <w:keepNext w:val="0"/>
              <w:spacing w:line="252" w:lineRule="auto" w:after="40" w:before="40"/>
            </w:pPr>
            <w:r>
              <w:rPr>
                <w:rFonts w:ascii="Times New Roman" w:hAnsi="Times New Roman"/>
                <w:b w:val="0"/>
                <w:sz w:val="18"/>
              </w:rPr>
              <w:t>Not measured; v2 cloud pending</w:t>
            </w:r>
          </w:p>
        </w:tc>
      </w:tr>
    </w:tbl>
    <w:p>
      <w:pPr>
        <w:pStyle w:val="Heading1"/>
      </w:pPr>
      <w:r>
        <w:rPr>
          <w:color w:val="000000"/>
        </w:rPr>
        <w:t>9 Implemented Modules and Evidence</w:t>
      </w:r>
    </w:p>
    <w:p>
      <w:r>
        <w:rPr>
          <w:rFonts w:ascii="Times New Roman" w:hAnsi="Times New Roman"/>
          <w:b w:val="0"/>
        </w:rPr>
        <w:t>The current repository includes c1f5152 (local study policy and MRI pipeline), a5248e0 (responsive cancer-imaging dashboard) and dcff096 (v2 product scope), all dated 11 October 2026. Table 10 maps delivered components to their code. Figures 3 to 6 show the current local interface captured on 16 October 2026.</w:t>
      </w:r>
    </w:p>
    <w:p>
      <w:pPr>
        <w:pStyle w:val="Heading2"/>
      </w:pPr>
      <w:r>
        <w:rPr>
          <w:color w:val="000000"/>
        </w:rPr>
        <w:t>9 1 Implemented Modules</w:t>
      </w:r>
    </w:p>
    <w:p>
      <w:pPr>
        <w:keepNext/>
        <w:spacing w:after="80"/>
      </w:pPr>
      <w:r>
        <w:rPr>
          <w:rFonts w:ascii="Times New Roman" w:hAnsi="Times New Roman"/>
          <w:b/>
          <w:sz w:val="21"/>
        </w:rPr>
        <w:t>Table 10. Implemented and planned modules.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rPr>
        <w:tc>
          <w:tcPr>
            <w:tcW w:type="dxa" w:w="1872"/>
            <w:vAlign w:val="center"/>
            <w:shd w:fill="D9EAF7"/>
          </w:tcPr>
          <w:p>
            <w:pPr>
              <w:keepNext/>
              <w:spacing w:line="252" w:lineRule="auto" w:before="40" w:after="40"/>
            </w:pPr>
            <w:r>
              <w:rPr>
                <w:b/>
                <w:sz w:val="18"/>
              </w:rPr>
              <w:t>Module</w:t>
            </w:r>
          </w:p>
        </w:tc>
        <w:tc>
          <w:tcPr>
            <w:tcW w:type="dxa" w:w="1872"/>
            <w:vAlign w:val="center"/>
            <w:shd w:fill="D9EAF7"/>
          </w:tcPr>
          <w:p>
            <w:pPr>
              <w:keepNext/>
              <w:spacing w:line="252" w:lineRule="auto" w:before="40" w:after="40"/>
            </w:pPr>
            <w:r>
              <w:rPr>
                <w:b/>
                <w:sz w:val="18"/>
              </w:rPr>
              <w:t>Implemented behavior</w:t>
            </w:r>
          </w:p>
        </w:tc>
        <w:tc>
          <w:tcPr>
            <w:tcW w:type="dxa" w:w="1872"/>
            <w:vAlign w:val="center"/>
            <w:shd w:fill="D9EAF7"/>
          </w:tcPr>
          <w:p>
            <w:pPr>
              <w:keepNext/>
              <w:spacing w:line="252" w:lineRule="auto" w:before="40" w:after="40"/>
            </w:pPr>
            <w:r>
              <w:rPr>
                <w:b/>
                <w:sz w:val="18"/>
              </w:rPr>
              <w:t>Technology</w:t>
            </w:r>
          </w:p>
        </w:tc>
        <w:tc>
          <w:tcPr>
            <w:tcW w:type="dxa" w:w="1872"/>
            <w:vAlign w:val="center"/>
            <w:shd w:fill="D9EAF7"/>
          </w:tcPr>
          <w:p>
            <w:pPr>
              <w:keepNext/>
              <w:spacing w:line="252" w:lineRule="auto" w:before="40" w:after="40"/>
            </w:pPr>
            <w:r>
              <w:rPr>
                <w:b/>
                <w:sz w:val="18"/>
              </w:rPr>
              <w:t>Evidence</w:t>
            </w:r>
          </w:p>
        </w:tc>
        <w:tc>
          <w:tcPr>
            <w:tcW w:type="dxa" w:w="1872"/>
            <w:vAlign w:val="center"/>
            <w:shd w:fill="D9EAF7"/>
          </w:tcPr>
          <w:p>
            <w:pPr>
              <w:keepNext/>
              <w:spacing w:line="252" w:lineRule="auto" w:before="40" w:after="40"/>
            </w:pPr>
            <w:r>
              <w:rPr>
                <w:b/>
                <w:sz w:val="18"/>
              </w:rPr>
              <w:t>Status</w:t>
            </w:r>
          </w:p>
        </w:tc>
      </w:tr>
      <w:tr>
        <w:trPr>
          <w:cantSplit w:val="true"/>
        </w:trPr>
        <w:tc>
          <w:tcPr>
            <w:tcW w:type="dxa" w:w="1872"/>
            <w:vAlign w:val="top"/>
          </w:tcPr>
          <w:p>
            <w:pPr>
              <w:keepNext w:val="0"/>
              <w:spacing w:line="252" w:lineRule="auto" w:after="40" w:before="40"/>
            </w:pPr>
            <w:r>
              <w:rPr>
                <w:rFonts w:ascii="Times New Roman" w:hAnsi="Times New Roman"/>
                <w:b w:val="0"/>
                <w:sz w:val="18"/>
              </w:rPr>
              <w:t>Study persistence</w:t>
            </w:r>
          </w:p>
        </w:tc>
        <w:tc>
          <w:tcPr>
            <w:tcW w:type="dxa" w:w="1872"/>
            <w:vAlign w:val="top"/>
          </w:tcPr>
          <w:p>
            <w:pPr>
              <w:keepNext w:val="0"/>
              <w:spacing w:line="252" w:lineRule="auto" w:after="40" w:before="40"/>
            </w:pPr>
            <w:r>
              <w:rPr>
                <w:rFonts w:ascii="Times New Roman" w:hAnsi="Times New Roman"/>
                <w:b w:val="0"/>
                <w:sz w:val="18"/>
              </w:rPr>
              <w:t>Studies, sequence/object metadata, versioning and append-only events</w:t>
            </w:r>
          </w:p>
        </w:tc>
        <w:tc>
          <w:tcPr>
            <w:tcW w:type="dxa" w:w="1872"/>
            <w:vAlign w:val="top"/>
          </w:tcPr>
          <w:p>
            <w:pPr>
              <w:keepNext w:val="0"/>
              <w:spacing w:line="252" w:lineRule="auto" w:after="40" w:before="40"/>
            </w:pPr>
            <w:r>
              <w:rPr>
                <w:rFonts w:ascii="Times New Roman" w:hAnsi="Times New Roman"/>
                <w:b w:val="0"/>
                <w:sz w:val="18"/>
              </w:rPr>
              <w:t>SQLite</w:t>
            </w:r>
          </w:p>
        </w:tc>
        <w:tc>
          <w:tcPr>
            <w:tcW w:type="dxa" w:w="1872"/>
            <w:vAlign w:val="top"/>
          </w:tcPr>
          <w:p>
            <w:pPr>
              <w:keepNext w:val="0"/>
              <w:spacing w:line="252" w:lineRule="auto" w:after="40" w:before="40"/>
            </w:pPr>
            <w:r>
              <w:rPr>
                <w:rFonts w:ascii="Times New Roman" w:hAnsi="Times New Roman"/>
                <w:b w:val="0"/>
                <w:sz w:val="18"/>
              </w:rPr>
              <w:t>archive.py</w:t>
            </w:r>
          </w:p>
        </w:tc>
        <w:tc>
          <w:tcPr>
            <w:tcW w:type="dxa" w:w="1872"/>
            <w:vAlign w:val="top"/>
          </w:tcPr>
          <w:p>
            <w:pPr>
              <w:keepNext w:val="0"/>
              <w:spacing w:line="252" w:lineRule="auto" w:after="40" w:before="40"/>
            </w:pPr>
            <w:r>
              <w:rPr>
                <w:rFonts w:ascii="Times New Roman" w:hAnsi="Times New Roman"/>
                <w:b w:val="0"/>
                <w:sz w:val="18"/>
              </w:rPr>
              <w:t>Local complete</w:t>
            </w:r>
          </w:p>
        </w:tc>
      </w:tr>
      <w:tr>
        <w:trPr>
          <w:cantSplit w:val="true"/>
        </w:trPr>
        <w:tc>
          <w:tcPr>
            <w:tcW w:type="dxa" w:w="1872"/>
            <w:vAlign w:val="top"/>
          </w:tcPr>
          <w:p>
            <w:pPr>
              <w:keepNext w:val="0"/>
              <w:spacing w:line="252" w:lineRule="auto" w:after="40" w:before="40"/>
            </w:pPr>
            <w:r>
              <w:rPr>
                <w:rFonts w:ascii="Times New Roman" w:hAnsi="Times New Roman"/>
                <w:b w:val="0"/>
                <w:sz w:val="18"/>
              </w:rPr>
              <w:t>Import and clinical join</w:t>
            </w:r>
          </w:p>
        </w:tc>
        <w:tc>
          <w:tcPr>
            <w:tcW w:type="dxa" w:w="1872"/>
            <w:vAlign w:val="top"/>
          </w:tcPr>
          <w:p>
            <w:pPr>
              <w:keepNext w:val="0"/>
              <w:spacing w:line="252" w:lineRule="auto" w:after="40" w:before="40"/>
            </w:pPr>
            <w:r>
              <w:rPr>
                <w:rFonts w:ascii="Times New Roman" w:hAnsi="Times New Roman"/>
                <w:b w:val="0"/>
                <w:sz w:val="18"/>
              </w:rPr>
              <w:t>DICOM/NIfTI parsing, identity guards, checksums, exact CSV matches</w:t>
            </w:r>
          </w:p>
        </w:tc>
        <w:tc>
          <w:tcPr>
            <w:tcW w:type="dxa" w:w="1872"/>
            <w:vAlign w:val="top"/>
          </w:tcPr>
          <w:p>
            <w:pPr>
              <w:keepNext w:val="0"/>
              <w:spacing w:line="252" w:lineRule="auto" w:after="40" w:before="40"/>
            </w:pPr>
            <w:r>
              <w:rPr>
                <w:rFonts w:ascii="Times New Roman" w:hAnsi="Times New Roman"/>
                <w:b w:val="0"/>
                <w:sz w:val="18"/>
              </w:rPr>
              <w:t>pydicom NiBabel CSV</w:t>
            </w:r>
          </w:p>
        </w:tc>
        <w:tc>
          <w:tcPr>
            <w:tcW w:type="dxa" w:w="1872"/>
            <w:vAlign w:val="top"/>
          </w:tcPr>
          <w:p>
            <w:pPr>
              <w:keepNext w:val="0"/>
              <w:spacing w:line="252" w:lineRule="auto" w:after="40" w:before="40"/>
            </w:pPr>
            <w:r>
              <w:rPr>
                <w:rFonts w:ascii="Times New Roman" w:hAnsi="Times New Roman"/>
                <w:b w:val="0"/>
                <w:sz w:val="18"/>
              </w:rPr>
              <w:t>archive.py; test_archive.py</w:t>
            </w:r>
          </w:p>
        </w:tc>
        <w:tc>
          <w:tcPr>
            <w:tcW w:type="dxa" w:w="1872"/>
            <w:vAlign w:val="top"/>
          </w:tcPr>
          <w:p>
            <w:pPr>
              <w:keepNext w:val="0"/>
              <w:spacing w:line="252" w:lineRule="auto" w:after="40" w:before="40"/>
            </w:pPr>
            <w:r>
              <w:rPr>
                <w:rFonts w:ascii="Times New Roman" w:hAnsi="Times New Roman"/>
                <w:b w:val="0"/>
                <w:sz w:val="18"/>
              </w:rPr>
              <w:t>Local complete</w:t>
            </w:r>
          </w:p>
        </w:tc>
      </w:tr>
      <w:tr>
        <w:trPr>
          <w:cantSplit w:val="true"/>
        </w:trPr>
        <w:tc>
          <w:tcPr>
            <w:tcW w:type="dxa" w:w="1872"/>
            <w:vAlign w:val="top"/>
          </w:tcPr>
          <w:p>
            <w:pPr>
              <w:keepNext w:val="0"/>
              <w:spacing w:line="252" w:lineRule="auto" w:after="40" w:before="40"/>
            </w:pPr>
            <w:r>
              <w:rPr>
                <w:rFonts w:ascii="Times New Roman" w:hAnsi="Times New Roman"/>
                <w:b w:val="0"/>
                <w:sz w:val="18"/>
              </w:rPr>
              <w:t>MRI preview</w:t>
            </w:r>
          </w:p>
        </w:tc>
        <w:tc>
          <w:tcPr>
            <w:tcW w:type="dxa" w:w="1872"/>
            <w:vAlign w:val="top"/>
          </w:tcPr>
          <w:p>
            <w:pPr>
              <w:keepNext w:val="0"/>
              <w:spacing w:line="252" w:lineRule="auto" w:after="40" w:before="40"/>
            </w:pPr>
            <w:r>
              <w:rPr>
                <w:rFonts w:ascii="Times New Roman" w:hAnsi="Times New Roman"/>
                <w:b w:val="0"/>
                <w:sz w:val="18"/>
              </w:rPr>
              <w:t>Real three-plane NIfTI PNG previews and prediction overlays</w:t>
            </w:r>
          </w:p>
        </w:tc>
        <w:tc>
          <w:tcPr>
            <w:tcW w:type="dxa" w:w="1872"/>
            <w:vAlign w:val="top"/>
          </w:tcPr>
          <w:p>
            <w:pPr>
              <w:keepNext w:val="0"/>
              <w:spacing w:line="252" w:lineRule="auto" w:after="40" w:before="40"/>
            </w:pPr>
            <w:r>
              <w:rPr>
                <w:rFonts w:ascii="Times New Roman" w:hAnsi="Times New Roman"/>
                <w:b w:val="0"/>
                <w:sz w:val="18"/>
              </w:rPr>
              <w:t>NiBabel Pillow</w:t>
            </w:r>
          </w:p>
        </w:tc>
        <w:tc>
          <w:tcPr>
            <w:tcW w:type="dxa" w:w="1872"/>
            <w:vAlign w:val="top"/>
          </w:tcPr>
          <w:p>
            <w:pPr>
              <w:keepNext w:val="0"/>
              <w:spacing w:line="252" w:lineRule="auto" w:after="40" w:before="40"/>
            </w:pPr>
            <w:r>
              <w:rPr>
                <w:rFonts w:ascii="Times New Roman" w:hAnsi="Times New Roman"/>
                <w:b w:val="0"/>
                <w:sz w:val="18"/>
              </w:rPr>
              <w:t>archive_routes.py</w:t>
            </w:r>
          </w:p>
        </w:tc>
        <w:tc>
          <w:tcPr>
            <w:tcW w:type="dxa" w:w="1872"/>
            <w:vAlign w:val="top"/>
          </w:tcPr>
          <w:p>
            <w:pPr>
              <w:keepNext w:val="0"/>
              <w:spacing w:line="252" w:lineRule="auto" w:after="40" w:before="40"/>
            </w:pPr>
            <w:r>
              <w:rPr>
                <w:rFonts w:ascii="Times New Roman" w:hAnsi="Times New Roman"/>
                <w:b w:val="0"/>
                <w:sz w:val="18"/>
              </w:rPr>
              <w:t>Local complete</w:t>
            </w:r>
          </w:p>
        </w:tc>
      </w:tr>
      <w:tr>
        <w:trPr>
          <w:cantSplit w:val="true"/>
        </w:trPr>
        <w:tc>
          <w:tcPr>
            <w:tcW w:type="dxa" w:w="1872"/>
            <w:vAlign w:val="top"/>
          </w:tcPr>
          <w:p>
            <w:pPr>
              <w:keepNext w:val="0"/>
              <w:spacing w:line="252" w:lineRule="auto" w:after="40" w:before="40"/>
            </w:pPr>
            <w:r>
              <w:rPr>
                <w:rFonts w:ascii="Times New Roman" w:hAnsi="Times New Roman"/>
                <w:b w:val="0"/>
                <w:sz w:val="18"/>
              </w:rPr>
              <w:t>MRI worker</w:t>
            </w:r>
          </w:p>
        </w:tc>
        <w:tc>
          <w:tcPr>
            <w:tcW w:type="dxa" w:w="1872"/>
            <w:vAlign w:val="top"/>
          </w:tcPr>
          <w:p>
            <w:pPr>
              <w:keepNext w:val="0"/>
              <w:spacing w:line="252" w:lineRule="auto" w:after="40" w:before="40"/>
            </w:pPr>
            <w:r>
              <w:rPr>
                <w:rFonts w:ascii="Times New Roman" w:hAnsi="Times New Roman"/>
                <w:b w:val="0"/>
                <w:sz w:val="18"/>
              </w:rPr>
              <w:t>Pinned SegResNet, geometry/intensity gates, masks, volumes and provenance</w:t>
            </w:r>
          </w:p>
        </w:tc>
        <w:tc>
          <w:tcPr>
            <w:tcW w:type="dxa" w:w="1872"/>
            <w:vAlign w:val="top"/>
          </w:tcPr>
          <w:p>
            <w:pPr>
              <w:keepNext w:val="0"/>
              <w:spacing w:line="252" w:lineRule="auto" w:after="40" w:before="40"/>
            </w:pPr>
            <w:r>
              <w:rPr>
                <w:rFonts w:ascii="Times New Roman" w:hAnsi="Times New Roman"/>
                <w:b w:val="0"/>
                <w:sz w:val="18"/>
              </w:rPr>
              <w:t>MONAI PyTorch</w:t>
            </w:r>
          </w:p>
        </w:tc>
        <w:tc>
          <w:tcPr>
            <w:tcW w:type="dxa" w:w="1872"/>
            <w:vAlign w:val="top"/>
          </w:tcPr>
          <w:p>
            <w:pPr>
              <w:keepNext w:val="0"/>
              <w:spacing w:line="252" w:lineRule="auto" w:after="40" w:before="40"/>
            </w:pPr>
            <w:r>
              <w:rPr>
                <w:rFonts w:ascii="Times New Roman" w:hAnsi="Times New Roman"/>
                <w:b w:val="0"/>
                <w:sz w:val="18"/>
              </w:rPr>
              <w:t>mri_inference.py; compatibility JSON</w:t>
            </w:r>
          </w:p>
        </w:tc>
        <w:tc>
          <w:tcPr>
            <w:tcW w:type="dxa" w:w="1872"/>
            <w:vAlign w:val="top"/>
          </w:tcPr>
          <w:p>
            <w:pPr>
              <w:keepNext w:val="0"/>
              <w:spacing w:line="252" w:lineRule="auto" w:after="40" w:before="40"/>
            </w:pPr>
            <w:r>
              <w:rPr>
                <w:rFonts w:ascii="Times New Roman" w:hAnsi="Times New Roman"/>
                <w:b w:val="0"/>
                <w:sz w:val="18"/>
              </w:rPr>
              <w:t>Functional synthetic evidence</w:t>
            </w:r>
          </w:p>
        </w:tc>
      </w:tr>
      <w:tr>
        <w:trPr>
          <w:cantSplit w:val="true"/>
        </w:trPr>
        <w:tc>
          <w:tcPr>
            <w:tcW w:type="dxa" w:w="1872"/>
            <w:vAlign w:val="top"/>
          </w:tcPr>
          <w:p>
            <w:pPr>
              <w:keepNext w:val="0"/>
              <w:spacing w:line="252" w:lineRule="auto" w:after="40" w:before="40"/>
            </w:pPr>
            <w:r>
              <w:rPr>
                <w:rFonts w:ascii="Times New Roman" w:hAnsi="Times New Roman"/>
                <w:b w:val="0"/>
                <w:sz w:val="18"/>
              </w:rPr>
              <w:t>Study policy</w:t>
            </w:r>
          </w:p>
        </w:tc>
        <w:tc>
          <w:tcPr>
            <w:tcW w:type="dxa" w:w="1872"/>
            <w:vAlign w:val="top"/>
          </w:tcPr>
          <w:p>
            <w:pPr>
              <w:keepNext w:val="0"/>
              <w:spacing w:line="252" w:lineRule="auto" w:after="40" w:before="40"/>
            </w:pPr>
            <w:r>
              <w:rPr>
                <w:rFonts w:ascii="Times New Roman" w:hAnsi="Times New Roman"/>
                <w:b w:val="0"/>
                <w:sz w:val="18"/>
              </w:rPr>
              <w:t>Explicit eligibility and per-object monetary comparison</w:t>
            </w:r>
          </w:p>
        </w:tc>
        <w:tc>
          <w:tcPr>
            <w:tcW w:type="dxa" w:w="1872"/>
            <w:vAlign w:val="top"/>
          </w:tcPr>
          <w:p>
            <w:pPr>
              <w:keepNext w:val="0"/>
              <w:spacing w:line="252" w:lineRule="auto" w:after="40" w:before="40"/>
            </w:pPr>
            <w:r>
              <w:rPr>
                <w:rFonts w:ascii="Times New Roman" w:hAnsi="Times New Roman"/>
                <w:b w:val="0"/>
                <w:sz w:val="18"/>
              </w:rPr>
              <w:t>Python policy v2.1</w:t>
            </w:r>
          </w:p>
        </w:tc>
        <w:tc>
          <w:tcPr>
            <w:tcW w:type="dxa" w:w="1872"/>
            <w:vAlign w:val="top"/>
          </w:tcPr>
          <w:p>
            <w:pPr>
              <w:keepNext w:val="0"/>
              <w:spacing w:line="252" w:lineRule="auto" w:after="40" w:before="40"/>
            </w:pPr>
            <w:r>
              <w:rPr>
                <w:rFonts w:ascii="Times New Roman" w:hAnsi="Times New Roman"/>
                <w:b w:val="0"/>
                <w:sz w:val="18"/>
              </w:rPr>
              <w:t>archive.py; component tests</w:t>
            </w:r>
          </w:p>
        </w:tc>
        <w:tc>
          <w:tcPr>
            <w:tcW w:type="dxa" w:w="1872"/>
            <w:vAlign w:val="top"/>
          </w:tcPr>
          <w:p>
            <w:pPr>
              <w:keepNext w:val="0"/>
              <w:spacing w:line="252" w:lineRule="auto" w:after="40" w:before="40"/>
            </w:pPr>
            <w:r>
              <w:rPr>
                <w:rFonts w:ascii="Times New Roman" w:hAnsi="Times New Roman"/>
                <w:b w:val="0"/>
                <w:sz w:val="18"/>
              </w:rPr>
              <w:t>Local complete</w:t>
            </w:r>
          </w:p>
        </w:tc>
      </w:tr>
      <w:tr>
        <w:trPr>
          <w:cantSplit w:val="true"/>
        </w:trPr>
        <w:tc>
          <w:tcPr>
            <w:tcW w:type="dxa" w:w="1872"/>
            <w:vAlign w:val="top"/>
          </w:tcPr>
          <w:p>
            <w:pPr>
              <w:keepNext w:val="0"/>
              <w:spacing w:line="252" w:lineRule="auto" w:after="40" w:before="40"/>
            </w:pPr>
            <w:r>
              <w:rPr>
                <w:rFonts w:ascii="Times New Roman" w:hAnsi="Times New Roman"/>
                <w:b w:val="0"/>
                <w:sz w:val="18"/>
              </w:rPr>
              <w:t>Bundle operations</w:t>
            </w:r>
          </w:p>
        </w:tc>
        <w:tc>
          <w:tcPr>
            <w:tcW w:type="dxa" w:w="1872"/>
            <w:vAlign w:val="top"/>
          </w:tcPr>
          <w:p>
            <w:pPr>
              <w:keepNext w:val="0"/>
              <w:spacing w:line="252" w:lineRule="auto" w:after="40" w:before="40"/>
            </w:pPr>
            <w:r>
              <w:rPr>
                <w:rFonts w:ascii="Times New Roman" w:hAnsi="Times New Roman"/>
                <w:b w:val="0"/>
                <w:sz w:val="18"/>
              </w:rPr>
              <w:t>Reviewed placement, restore, stale update rejection and events</w:t>
            </w:r>
          </w:p>
        </w:tc>
        <w:tc>
          <w:tcPr>
            <w:tcW w:type="dxa" w:w="1872"/>
            <w:vAlign w:val="top"/>
          </w:tcPr>
          <w:p>
            <w:pPr>
              <w:keepNext w:val="0"/>
              <w:spacing w:line="252" w:lineRule="auto" w:after="40" w:before="40"/>
            </w:pPr>
            <w:r>
              <w:rPr>
                <w:rFonts w:ascii="Times New Roman" w:hAnsi="Times New Roman"/>
                <w:b w:val="0"/>
                <w:sz w:val="18"/>
              </w:rPr>
              <w:t>Flask SQLite</w:t>
            </w:r>
          </w:p>
        </w:tc>
        <w:tc>
          <w:tcPr>
            <w:tcW w:type="dxa" w:w="1872"/>
            <w:vAlign w:val="top"/>
          </w:tcPr>
          <w:p>
            <w:pPr>
              <w:keepNext w:val="0"/>
              <w:spacing w:line="252" w:lineRule="auto" w:after="40" w:before="40"/>
            </w:pPr>
            <w:r>
              <w:rPr>
                <w:rFonts w:ascii="Times New Roman" w:hAnsi="Times New Roman"/>
                <w:b w:val="0"/>
                <w:sz w:val="18"/>
              </w:rPr>
              <w:t>archive_routes.py; archive tests</w:t>
            </w:r>
          </w:p>
        </w:tc>
        <w:tc>
          <w:tcPr>
            <w:tcW w:type="dxa" w:w="1872"/>
            <w:vAlign w:val="top"/>
          </w:tcPr>
          <w:p>
            <w:pPr>
              <w:keepNext w:val="0"/>
              <w:spacing w:line="252" w:lineRule="auto" w:after="40" w:before="40"/>
            </w:pPr>
            <w:r>
              <w:rPr>
                <w:rFonts w:ascii="Times New Roman" w:hAnsi="Times New Roman"/>
                <w:b w:val="0"/>
                <w:sz w:val="18"/>
              </w:rPr>
              <w:t>Local simulation</w:t>
            </w:r>
          </w:p>
        </w:tc>
      </w:tr>
      <w:tr>
        <w:trPr>
          <w:cantSplit w:val="true"/>
        </w:trPr>
        <w:tc>
          <w:tcPr>
            <w:tcW w:type="dxa" w:w="1872"/>
            <w:vAlign w:val="top"/>
          </w:tcPr>
          <w:p>
            <w:pPr>
              <w:keepNext w:val="0"/>
              <w:spacing w:line="252" w:lineRule="auto" w:after="40" w:before="40"/>
            </w:pPr>
            <w:r>
              <w:rPr>
                <w:rFonts w:ascii="Times New Roman" w:hAnsi="Times New Roman"/>
                <w:b w:val="0"/>
                <w:sz w:val="18"/>
              </w:rPr>
              <w:t>Archive interface</w:t>
            </w:r>
          </w:p>
        </w:tc>
        <w:tc>
          <w:tcPr>
            <w:tcW w:type="dxa" w:w="1872"/>
            <w:vAlign w:val="top"/>
          </w:tcPr>
          <w:p>
            <w:pPr>
              <w:keepNext w:val="0"/>
              <w:spacing w:line="252" w:lineRule="auto" w:after="40" w:before="40"/>
            </w:pPr>
            <w:r>
              <w:rPr>
                <w:rFonts w:ascii="Times New Roman" w:hAnsi="Times New Roman"/>
                <w:b w:val="0"/>
                <w:sz w:val="18"/>
              </w:rPr>
              <w:t>Overview, explorer, workbench, imports, quality, operations and costs</w:t>
            </w:r>
          </w:p>
        </w:tc>
        <w:tc>
          <w:tcPr>
            <w:tcW w:type="dxa" w:w="1872"/>
            <w:vAlign w:val="top"/>
          </w:tcPr>
          <w:p>
            <w:pPr>
              <w:keepNext w:val="0"/>
              <w:spacing w:line="252" w:lineRule="auto" w:after="40" w:before="40"/>
            </w:pPr>
            <w:r>
              <w:rPr>
                <w:rFonts w:ascii="Times New Roman" w:hAnsi="Times New Roman"/>
                <w:b w:val="0"/>
                <w:sz w:val="18"/>
              </w:rPr>
              <w:t>React Vite</w:t>
            </w:r>
          </w:p>
        </w:tc>
        <w:tc>
          <w:tcPr>
            <w:tcW w:type="dxa" w:w="1872"/>
            <w:vAlign w:val="top"/>
          </w:tcPr>
          <w:p>
            <w:pPr>
              <w:keepNext w:val="0"/>
              <w:spacing w:line="252" w:lineRule="auto" w:after="40" w:before="40"/>
            </w:pPr>
            <w:r>
              <w:rPr>
                <w:rFonts w:ascii="Times New Roman" w:hAnsi="Times New Roman"/>
                <w:b w:val="0"/>
                <w:sz w:val="18"/>
              </w:rPr>
              <w:t>frontend/src/archive; production build</w:t>
            </w:r>
          </w:p>
        </w:tc>
        <w:tc>
          <w:tcPr>
            <w:tcW w:type="dxa" w:w="1872"/>
            <w:vAlign w:val="top"/>
          </w:tcPr>
          <w:p>
            <w:pPr>
              <w:keepNext w:val="0"/>
              <w:spacing w:line="252" w:lineRule="auto" w:after="40" w:before="40"/>
            </w:pPr>
            <w:r>
              <w:rPr>
                <w:rFonts w:ascii="Times New Roman" w:hAnsi="Times New Roman"/>
                <w:b w:val="0"/>
                <w:sz w:val="18"/>
              </w:rPr>
              <w:t>Local complete</w:t>
            </w:r>
          </w:p>
        </w:tc>
      </w:tr>
      <w:tr>
        <w:trPr>
          <w:cantSplit w:val="true"/>
        </w:trPr>
        <w:tc>
          <w:tcPr>
            <w:tcW w:type="dxa" w:w="1872"/>
            <w:vAlign w:val="top"/>
          </w:tcPr>
          <w:p>
            <w:pPr>
              <w:keepNext w:val="0"/>
              <w:spacing w:line="252" w:lineRule="auto" w:after="40" w:before="40"/>
            </w:pPr>
            <w:r>
              <w:rPr>
                <w:rFonts w:ascii="Times New Roman" w:hAnsi="Times New Roman"/>
                <w:b w:val="0"/>
                <w:sz w:val="18"/>
              </w:rPr>
              <w:t>Retained v1 cloud</w:t>
            </w:r>
          </w:p>
        </w:tc>
        <w:tc>
          <w:tcPr>
            <w:tcW w:type="dxa" w:w="1872"/>
            <w:vAlign w:val="top"/>
          </w:tcPr>
          <w:p>
            <w:pPr>
              <w:keepNext w:val="0"/>
              <w:spacing w:line="252" w:lineRule="auto" w:after="40" w:before="40"/>
            </w:pPr>
            <w:r>
              <w:rPr>
                <w:rFonts w:ascii="Times New Roman" w:hAnsi="Times New Roman"/>
                <w:b w:val="0"/>
                <w:sz w:val="18"/>
              </w:rPr>
              <w:t>Cloud API, inference/reconciliation handlers and SAM resources</w:t>
            </w:r>
          </w:p>
        </w:tc>
        <w:tc>
          <w:tcPr>
            <w:tcW w:type="dxa" w:w="1872"/>
            <w:vAlign w:val="top"/>
          </w:tcPr>
          <w:p>
            <w:pPr>
              <w:keepNext w:val="0"/>
              <w:spacing w:line="252" w:lineRule="auto" w:after="40" w:before="40"/>
            </w:pPr>
            <w:r>
              <w:rPr>
                <w:rFonts w:ascii="Times New Roman" w:hAnsi="Times New Roman"/>
                <w:b w:val="0"/>
                <w:sz w:val="18"/>
              </w:rPr>
              <w:t>AWS SAM Lambda</w:t>
            </w:r>
          </w:p>
        </w:tc>
        <w:tc>
          <w:tcPr>
            <w:tcW w:type="dxa" w:w="1872"/>
            <w:vAlign w:val="top"/>
          </w:tcPr>
          <w:p>
            <w:pPr>
              <w:keepNext w:val="0"/>
              <w:spacing w:line="252" w:lineRule="auto" w:after="40" w:before="40"/>
            </w:pPr>
            <w:r>
              <w:rPr>
                <w:rFonts w:ascii="Times New Roman" w:hAnsi="Times New Roman"/>
                <w:b w:val="0"/>
                <w:sz w:val="18"/>
              </w:rPr>
              <w:t>aws/; cloud and event tests</w:t>
            </w:r>
          </w:p>
        </w:tc>
        <w:tc>
          <w:tcPr>
            <w:tcW w:type="dxa" w:w="1872"/>
            <w:vAlign w:val="top"/>
          </w:tcPr>
          <w:p>
            <w:pPr>
              <w:keepNext w:val="0"/>
              <w:spacing w:line="252" w:lineRule="auto" w:after="40" w:before="40"/>
            </w:pPr>
            <w:r>
              <w:rPr>
                <w:rFonts w:ascii="Times New Roman" w:hAnsi="Times New Roman"/>
                <w:b w:val="0"/>
                <w:sz w:val="18"/>
              </w:rPr>
              <w:t>Implemented not deployed</w:t>
            </w:r>
          </w:p>
        </w:tc>
      </w:tr>
      <w:tr>
        <w:trPr>
          <w:cantSplit w:val="true"/>
        </w:trPr>
        <w:tc>
          <w:tcPr>
            <w:tcW w:type="dxa" w:w="1872"/>
            <w:vAlign w:val="top"/>
          </w:tcPr>
          <w:p>
            <w:pPr>
              <w:keepNext w:val="0"/>
              <w:spacing w:line="252" w:lineRule="auto" w:after="40" w:before="40"/>
            </w:pPr>
            <w:r>
              <w:rPr>
                <w:rFonts w:ascii="Times New Roman" w:hAnsi="Times New Roman"/>
                <w:b w:val="0"/>
                <w:sz w:val="18"/>
              </w:rPr>
              <w:t>Real cohort and v2 cloud</w:t>
            </w:r>
          </w:p>
        </w:tc>
        <w:tc>
          <w:tcPr>
            <w:tcW w:type="dxa" w:w="1872"/>
            <w:vAlign w:val="top"/>
          </w:tcPr>
          <w:p>
            <w:pPr>
              <w:keepNext w:val="0"/>
              <w:spacing w:line="252" w:lineRule="auto" w:after="40" w:before="40"/>
            </w:pPr>
            <w:r>
              <w:rPr>
                <w:rFonts w:ascii="Times New Roman" w:hAnsi="Times New Roman"/>
                <w:b w:val="0"/>
                <w:sz w:val="18"/>
              </w:rPr>
              <w:t>Provider acquisition, cohort evaluation and AWS study execution</w:t>
            </w:r>
          </w:p>
        </w:tc>
        <w:tc>
          <w:tcPr>
            <w:tcW w:type="dxa" w:w="1872"/>
            <w:vAlign w:val="top"/>
          </w:tcPr>
          <w:p>
            <w:pPr>
              <w:keepNext w:val="0"/>
              <w:spacing w:line="252" w:lineRule="auto" w:after="40" w:before="40"/>
            </w:pPr>
            <w:r>
              <w:rPr>
                <w:rFonts w:ascii="Times New Roman" w:hAnsi="Times New Roman"/>
                <w:b w:val="0"/>
                <w:sz w:val="18"/>
              </w:rPr>
              <w:t>Future integrations</w:t>
            </w:r>
          </w:p>
        </w:tc>
        <w:tc>
          <w:tcPr>
            <w:tcW w:type="dxa" w:w="1872"/>
            <w:vAlign w:val="top"/>
          </w:tcPr>
          <w:p>
            <w:pPr>
              <w:keepNext w:val="0"/>
              <w:spacing w:line="252" w:lineRule="auto" w:after="40" w:before="40"/>
            </w:pPr>
            <w:r>
              <w:rPr>
                <w:rFonts w:ascii="Times New Roman" w:hAnsi="Times New Roman"/>
                <w:b w:val="0"/>
                <w:sz w:val="18"/>
              </w:rPr>
              <w:t>No completed evidence</w:t>
            </w:r>
          </w:p>
        </w:tc>
        <w:tc>
          <w:tcPr>
            <w:tcW w:type="dxa" w:w="1872"/>
            <w:vAlign w:val="top"/>
          </w:tcPr>
          <w:p>
            <w:pPr>
              <w:keepNext w:val="0"/>
              <w:spacing w:line="252" w:lineRule="auto" w:after="40" w:before="40"/>
            </w:pPr>
            <w:r>
              <w:rPr>
                <w:rFonts w:ascii="Times New Roman" w:hAnsi="Times New Roman"/>
                <w:b w:val="0"/>
                <w:sz w:val="18"/>
              </w:rPr>
              <w:t>Pending</w:t>
            </w:r>
          </w:p>
        </w:tc>
      </w:tr>
    </w:tbl>
    <w:p>
      <w:pPr>
        <w:pStyle w:val="Heading2"/>
      </w:pPr>
      <w:r>
        <w:rPr>
          <w:color w:val="000000"/>
        </w:rPr>
        <w:t>9 2 Interface Captures and Implementation Evidence</w:t>
      </w:r>
    </w:p>
    <w:p>
      <w:r>
        <w:rPr>
          <w:rFonts w:ascii="Times New Roman" w:hAnsi="Times New Roman"/>
          <w:b w:val="0"/>
        </w:rPr>
        <w:t>Figures 3 to 6 were captured from the current local React interface connected to Flask on 16 October 2026. A fresh temporary archive was populated using the explicit sample-cohort action. All 12 study records are synthetic metadata; they contain no patient pixels or inferred MRI results. The overview, study explorer, workbench and cost comparison provide current interface evidence. No AWS console or billing evidence is presented.</w:t>
      </w:r>
    </w:p>
    <w:p>
      <w:pPr>
        <w:keepNext/>
        <w:jc w:val="center"/>
      </w:pPr>
      <w:r>
        <w:drawing>
          <wp:inline xmlns:a="http://schemas.openxmlformats.org/drawingml/2006/main" xmlns:pic="http://schemas.openxmlformats.org/drawingml/2006/picture">
            <wp:extent cx="5760720" cy="3242669"/>
            <wp:docPr id="3" name="Picture 3" descr="Current archive overview with labelled synthetic records"/>
            <wp:cNvGraphicFramePr>
              <a:graphicFrameLocks noChangeAspect="1"/>
            </wp:cNvGraphicFramePr>
            <a:graphic>
              <a:graphicData uri="http://schemas.openxmlformats.org/drawingml/2006/picture">
                <pic:pic>
                  <pic:nvPicPr>
                    <pic:cNvPr id="0" name="01_login.png"/>
                    <pic:cNvPicPr/>
                  </pic:nvPicPr>
                  <pic:blipFill>
                    <a:blip r:embed="rId12"/>
                    <a:stretch>
                      <a:fillRect/>
                    </a:stretch>
                  </pic:blipFill>
                  <pic:spPr>
                    <a:xfrm>
                      <a:off x="0" y="0"/>
                      <a:ext cx="5760720" cy="3242669"/>
                    </a:xfrm>
                    <a:prstGeom prst="rect"/>
                  </pic:spPr>
                </pic:pic>
              </a:graphicData>
            </a:graphic>
          </wp:inline>
        </w:drawing>
      </w:r>
    </w:p>
    <w:p>
      <w:pPr>
        <w:spacing w:after="160"/>
        <w:jc w:val="center"/>
      </w:pPr>
      <w:r>
        <w:rPr>
          <w:rFonts w:ascii="Times New Roman" w:hAnsi="Times New Roman"/>
          <w:i/>
          <w:sz w:val="21"/>
        </w:rPr>
        <w:t>Figure 3. Current archive overview with synthetic study counts, sequence coverage, clinical-linkage coverage and quality issues.</w:t>
      </w:r>
    </w:p>
    <w:p>
      <w:pPr>
        <w:keepNext/>
        <w:jc w:val="center"/>
      </w:pPr>
      <w:r>
        <w:drawing>
          <wp:inline xmlns:a="http://schemas.openxmlformats.org/drawingml/2006/main" xmlns:pic="http://schemas.openxmlformats.org/drawingml/2006/picture">
            <wp:extent cx="5760720" cy="3242669"/>
            <wp:docPr id="4" name="Picture 4" descr="Current study explorer showing sequence coverage and storage"/>
            <wp:cNvGraphicFramePr>
              <a:graphicFrameLocks noChangeAspect="1"/>
            </wp:cNvGraphicFramePr>
            <a:graphic>
              <a:graphicData uri="http://schemas.openxmlformats.org/drawingml/2006/picture">
                <pic:pic>
                  <pic:nvPicPr>
                    <pic:cNvPr id="0" name="02_dashboard.png"/>
                    <pic:cNvPicPr/>
                  </pic:nvPicPr>
                  <pic:blipFill>
                    <a:blip r:embed="rId13"/>
                    <a:stretch>
                      <a:fillRect/>
                    </a:stretch>
                  </pic:blipFill>
                  <pic:spPr>
                    <a:xfrm>
                      <a:off x="0" y="0"/>
                      <a:ext cx="5760720" cy="3242669"/>
                    </a:xfrm>
                    <a:prstGeom prst="rect"/>
                  </pic:spPr>
                </pic:pic>
              </a:graphicData>
            </a:graphic>
          </wp:inline>
        </w:drawing>
      </w:r>
    </w:p>
    <w:p>
      <w:pPr>
        <w:spacing w:after="160"/>
        <w:jc w:val="center"/>
      </w:pPr>
      <w:r>
        <w:rPr>
          <w:rFonts w:ascii="Times New Roman" w:hAnsi="Times New Roman"/>
          <w:i/>
          <w:sz w:val="21"/>
        </w:rPr>
        <w:t>Figure 4. Current study explorer with sequence, clinical and storage filters. Displayed records belong to the labelled synthetic sample.</w:t>
      </w:r>
    </w:p>
    <w:p>
      <w:pPr>
        <w:keepNext/>
        <w:jc w:val="center"/>
      </w:pPr>
      <w:r>
        <w:drawing>
          <wp:inline xmlns:a="http://schemas.openxmlformats.org/drawingml/2006/main" xmlns:pic="http://schemas.openxmlformats.org/drawingml/2006/picture">
            <wp:extent cx="5760720" cy="3242669"/>
            <wp:docPr id="5" name="Picture 5" descr="Current study MRI workbench with no sample pixels"/>
            <wp:cNvGraphicFramePr>
              <a:graphicFrameLocks noChangeAspect="1"/>
            </wp:cNvGraphicFramePr>
            <a:graphic>
              <a:graphicData uri="http://schemas.openxmlformats.org/drawingml/2006/picture">
                <pic:pic>
                  <pic:nvPicPr>
                    <pic:cNvPr id="0" name="04_detail.png"/>
                    <pic:cNvPicPr/>
                  </pic:nvPicPr>
                  <pic:blipFill>
                    <a:blip r:embed="rId14"/>
                    <a:stretch>
                      <a:fillRect/>
                    </a:stretch>
                  </pic:blipFill>
                  <pic:spPr>
                    <a:xfrm>
                      <a:off x="0" y="0"/>
                      <a:ext cx="5760720" cy="3242669"/>
                    </a:xfrm>
                    <a:prstGeom prst="rect"/>
                  </pic:spPr>
                </pic:pic>
              </a:graphicData>
            </a:graphic>
          </wp:inline>
        </w:drawing>
      </w:r>
    </w:p>
    <w:p>
      <w:pPr>
        <w:spacing w:after="160"/>
        <w:jc w:val="center"/>
      </w:pPr>
      <w:r>
        <w:rPr>
          <w:rFonts w:ascii="Times New Roman" w:hAnsi="Times New Roman"/>
          <w:i/>
          <w:sz w:val="21"/>
        </w:rPr>
        <w:t>Figure 5. Current study detail and MRI workbench. Sample records correctly show no loaded pixels; MRI analysis requires permitted imported volumes.</w:t>
      </w:r>
    </w:p>
    <w:p>
      <w:pPr>
        <w:keepNext/>
        <w:jc w:val="center"/>
      </w:pPr>
      <w:r>
        <w:drawing>
          <wp:inline xmlns:a="http://schemas.openxmlformats.org/drawingml/2006/main" xmlns:pic="http://schemas.openxmlformats.org/drawingml/2006/picture">
            <wp:extent cx="5301499" cy="6035039"/>
            <wp:docPr id="6" name="Picture 6" descr="Current cost simulation and monetary components"/>
            <wp:cNvGraphicFramePr>
              <a:graphicFrameLocks noChangeAspect="1"/>
            </wp:cNvGraphicFramePr>
            <a:graphic>
              <a:graphicData uri="http://schemas.openxmlformats.org/drawingml/2006/picture">
                <pic:pic>
                  <pic:nvPicPr>
                    <pic:cNvPr id="0" name="05_costs.png"/>
                    <pic:cNvPicPr/>
                  </pic:nvPicPr>
                  <pic:blipFill>
                    <a:blip r:embed="rId15"/>
                    <a:stretch>
                      <a:fillRect/>
                    </a:stretch>
                  </pic:blipFill>
                  <pic:spPr>
                    <a:xfrm>
                      <a:off x="0" y="0"/>
                      <a:ext cx="5301499" cy="6035039"/>
                    </a:xfrm>
                    <a:prstGeom prst="rect"/>
                  </pic:spPr>
                </pic:pic>
              </a:graphicData>
            </a:graphic>
          </wp:inline>
        </w:drawing>
      </w:r>
    </w:p>
    <w:p>
      <w:pPr>
        <w:spacing w:after="160"/>
        <w:jc w:val="center"/>
      </w:pPr>
      <w:r>
        <w:rPr>
          <w:rFonts w:ascii="Times New Roman" w:hAnsi="Times New Roman"/>
          <w:i/>
          <w:sz w:val="21"/>
        </w:rPr>
        <w:t>Figure 6. Current cost simulation using 12 synthetic studies, a 12-month horizon and one declared access. Detailed totals appear in Table 12.</w:t>
      </w:r>
    </w:p>
    <w:p>
      <w:pPr>
        <w:pStyle w:val="Heading2"/>
      </w:pPr>
      <w:r>
        <w:rPr>
          <w:color w:val="000000"/>
        </w:rPr>
        <w:t>9 3 GitHub Repository</w:t>
      </w:r>
    </w:p>
    <w:p>
      <w:r>
        <w:rPr>
          <w:rFonts w:ascii="Times New Roman" w:hAnsi="Times New Roman"/>
          <w:b/>
        </w:rPr>
        <w:t>Repository:</w:t>
      </w:r>
      <w:r>
        <w:rPr>
          <w:rFonts w:ascii="Times New Roman" w:hAnsi="Times New Roman"/>
        </w:rPr>
        <w:t xml:space="preserve"> https://github.com/SUBHRO71/SmartStorageTierRecommenderForMedicalSector_Cloud_Project_2026 (name follows the ProjectName_Cloud_Project_2026 format). Main folders:</w:t>
      </w:r>
    </w:p>
    <w:p>
      <w:pPr>
        <w:pStyle w:val="ListBullet"/>
      </w:pPr>
      <w:r>
        <w:rPr>
          <w:rFonts w:ascii="Times New Roman" w:hAnsi="Times New Roman"/>
        </w:rPr>
        <w:t>README.md, LICENSE (MIT), .gitignore – overview, local run and deployment instructions</w:t>
      </w:r>
    </w:p>
    <w:p>
      <w:pPr>
        <w:pStyle w:val="ListBullet"/>
      </w:pPr>
      <w:r>
        <w:rPr>
          <w:rFonts w:ascii="Times New Roman" w:hAnsi="Times New Roman"/>
        </w:rPr>
        <w:t>docs/ – research gap analyses (Student 1–3), Phase I report and Part D documentation</w:t>
      </w:r>
    </w:p>
    <w:p>
      <w:pPr>
        <w:pStyle w:val="ListBullet"/>
      </w:pPr>
      <w:r>
        <w:rPr>
          <w:rFonts w:ascii="Times New Roman" w:hAnsi="Times New Roman"/>
          <w:b w:val="0"/>
        </w:rPr>
        <w:t>architecture/ contains the v2 PRD, dashboard specification, local implementation and verification record, retained architecture and decision records.</w:t>
      </w:r>
    </w:p>
    <w:p>
      <w:pPr>
        <w:pStyle w:val="ListBullet"/>
      </w:pPr>
      <w:r>
        <w:rPr>
          <w:rFonts w:ascii="Times New Roman" w:hAnsi="Times New Roman"/>
        </w:rPr>
        <w:t>dataset/ – dataset rules and README (raw data is not committed)</w:t>
      </w:r>
    </w:p>
    <w:p>
      <w:pPr>
        <w:pStyle w:val="ListBullet"/>
      </w:pPr>
      <w:r>
        <w:rPr>
          <w:rFonts w:ascii="Times New Roman" w:hAnsi="Times New Roman"/>
          <w:b w:val="0"/>
        </w:rPr>
        <w:t>src/ contains ml_model/ (MRI adapter, legacy extractor and decision engine), backend/ (archive persistence, routes and local API), and frontend/ (current archive and retained X-ray screens).</w:t>
      </w:r>
    </w:p>
    <w:p>
      <w:pPr>
        <w:pStyle w:val="ListBullet"/>
      </w:pPr>
      <w:r>
        <w:rPr>
          <w:rFonts w:ascii="Times New Roman" w:hAnsi="Times New Roman"/>
        </w:rPr>
        <w:t>aws/ – template.yaml, deploy.ps1, ingest_scan.py, Lambda handlers, IAM policy references, cost_estimates.md</w:t>
      </w:r>
    </w:p>
    <w:p>
      <w:pPr>
        <w:pStyle w:val="ListBullet"/>
      </w:pPr>
      <w:r>
        <w:rPr>
          <w:rFonts w:ascii="Times New Roman" w:hAnsi="Times New Roman"/>
          <w:b w:val="0"/>
        </w:rPr>
        <w:t>tests/ covers the archive, legacy local API, cloud API and event inference. results/v2_model_compatibility.json records the synthetic MRI run; other historical results are not current validation.</w:t>
      </w:r>
    </w:p>
    <w:p>
      <w:pPr>
        <w:pStyle w:val="Heading1"/>
      </w:pPr>
      <w:r>
        <w:rPr>
          <w:color w:val="000000"/>
        </w:rPr>
        <w:t>10 Testing Results and Observations</w:t>
      </w:r>
    </w:p>
    <w:p>
      <w:pPr>
        <w:pStyle w:val="Heading2"/>
      </w:pPr>
      <w:r>
        <w:rPr>
          <w:color w:val="000000"/>
        </w:rPr>
        <w:t>10 1 Test Plan and Test Cases</w:t>
      </w:r>
    </w:p>
    <w:p>
      <w:pPr>
        <w:keepNext/>
        <w:spacing w:after="80"/>
      </w:pPr>
      <w:r>
        <w:rPr>
          <w:rFonts w:ascii="Times New Roman" w:hAnsi="Times New Roman"/>
          <w:b/>
          <w:sz w:val="21"/>
        </w:rPr>
        <w:t>Table 11. Test plan and test cases.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1560"/>
        <w:gridCol w:w="1560"/>
        <w:gridCol w:w="1560"/>
        <w:gridCol w:w="1560"/>
        <w:gridCol w:w="1560"/>
      </w:tblGrid>
      <w:tr>
        <w:trPr>
          <w:tblHeader w:val="true"/>
        </w:trPr>
        <w:tc>
          <w:tcPr>
            <w:tcW w:type="dxa" w:w="1560"/>
            <w:vAlign w:val="center"/>
            <w:shd w:fill="D9EAF7"/>
          </w:tcPr>
          <w:p>
            <w:pPr>
              <w:keepNext/>
              <w:spacing w:line="252" w:lineRule="auto" w:before="40" w:after="40"/>
            </w:pPr>
            <w:r>
              <w:rPr>
                <w:b/>
                <w:sz w:val="18"/>
              </w:rPr>
              <w:t>Check</w:t>
            </w:r>
          </w:p>
        </w:tc>
        <w:tc>
          <w:tcPr>
            <w:tcW w:type="dxa" w:w="1560"/>
            <w:vAlign w:val="center"/>
            <w:shd w:fill="D9EAF7"/>
          </w:tcPr>
          <w:p>
            <w:pPr>
              <w:keepNext/>
              <w:spacing w:line="252" w:lineRule="auto" w:before="40" w:after="40"/>
            </w:pPr>
            <w:r>
              <w:rPr>
                <w:b/>
                <w:sz w:val="18"/>
              </w:rPr>
              <w:t>Scenario</w:t>
            </w:r>
          </w:p>
        </w:tc>
        <w:tc>
          <w:tcPr>
            <w:tcW w:type="dxa" w:w="1560"/>
            <w:vAlign w:val="center"/>
            <w:shd w:fill="D9EAF7"/>
          </w:tcPr>
          <w:p>
            <w:pPr>
              <w:keepNext/>
              <w:spacing w:line="252" w:lineRule="auto" w:before="40" w:after="40"/>
            </w:pPr>
            <w:r>
              <w:rPr>
                <w:b/>
                <w:sz w:val="18"/>
              </w:rPr>
              <w:t>Fixture or method</w:t>
            </w:r>
          </w:p>
        </w:tc>
        <w:tc>
          <w:tcPr>
            <w:tcW w:type="dxa" w:w="1560"/>
            <w:vAlign w:val="center"/>
            <w:shd w:fill="D9EAF7"/>
          </w:tcPr>
          <w:p>
            <w:pPr>
              <w:keepNext/>
              <w:spacing w:line="252" w:lineRule="auto" w:before="40" w:after="40"/>
            </w:pPr>
            <w:r>
              <w:rPr>
                <w:b/>
                <w:sz w:val="18"/>
              </w:rPr>
              <w:t>Expected</w:t>
            </w:r>
          </w:p>
        </w:tc>
        <w:tc>
          <w:tcPr>
            <w:tcW w:type="dxa" w:w="1560"/>
            <w:vAlign w:val="center"/>
            <w:shd w:fill="D9EAF7"/>
          </w:tcPr>
          <w:p>
            <w:pPr>
              <w:keepNext/>
              <w:spacing w:line="252" w:lineRule="auto" w:before="40" w:after="40"/>
            </w:pPr>
            <w:r>
              <w:rPr>
                <w:b/>
                <w:sz w:val="18"/>
              </w:rPr>
              <w:t>Observed</w:t>
            </w:r>
          </w:p>
        </w:tc>
        <w:tc>
          <w:tcPr>
            <w:tcW w:type="dxa" w:w="1560"/>
            <w:vAlign w:val="center"/>
            <w:shd w:fill="D9EAF7"/>
          </w:tcPr>
          <w:p>
            <w:pPr>
              <w:keepNext/>
              <w:spacing w:line="252" w:lineRule="auto" w:before="40" w:after="40"/>
            </w:pPr>
            <w:r>
              <w:rPr>
                <w:b/>
                <w:sz w:val="18"/>
              </w:rPr>
              <w:t>Result</w:t>
            </w:r>
          </w:p>
        </w:tc>
      </w:tr>
      <w:tr>
        <w:trPr>
          <w:cantSplit w:val="true"/>
        </w:trPr>
        <w:tc>
          <w:tcPr>
            <w:tcW w:type="dxa" w:w="1560"/>
            <w:vAlign w:val="top"/>
          </w:tcPr>
          <w:p>
            <w:pPr>
              <w:keepNext w:val="0"/>
              <w:spacing w:line="252" w:lineRule="auto" w:after="40" w:before="40"/>
            </w:pPr>
            <w:r>
              <w:rPr>
                <w:rFonts w:ascii="Times New Roman" w:hAnsi="Times New Roman"/>
                <w:b w:val="0"/>
                <w:sz w:val="18"/>
              </w:rPr>
              <w:t>A01</w:t>
            </w:r>
          </w:p>
        </w:tc>
        <w:tc>
          <w:tcPr>
            <w:tcW w:type="dxa" w:w="1560"/>
            <w:vAlign w:val="top"/>
          </w:tcPr>
          <w:p>
            <w:pPr>
              <w:keepNext w:val="0"/>
              <w:spacing w:line="252" w:lineRule="auto" w:after="40" w:before="40"/>
            </w:pPr>
            <w:r>
              <w:rPr>
                <w:rFonts w:ascii="Times New Roman" w:hAnsi="Times New Roman"/>
                <w:b w:val="0"/>
                <w:sz w:val="18"/>
              </w:rPr>
              <w:t>Empty archive and idempotent sample</w:t>
            </w:r>
          </w:p>
        </w:tc>
        <w:tc>
          <w:tcPr>
            <w:tcW w:type="dxa" w:w="1560"/>
            <w:vAlign w:val="top"/>
          </w:tcPr>
          <w:p>
            <w:pPr>
              <w:keepNext w:val="0"/>
              <w:spacing w:line="252" w:lineRule="auto" w:after="40" w:before="40"/>
            </w:pPr>
            <w:r>
              <w:rPr>
                <w:rFonts w:ascii="Times New Roman" w:hAnsi="Times New Roman"/>
                <w:b w:val="0"/>
                <w:sz w:val="18"/>
              </w:rPr>
              <w:t>Fresh temporary SQLite</w:t>
            </w:r>
          </w:p>
        </w:tc>
        <w:tc>
          <w:tcPr>
            <w:tcW w:type="dxa" w:w="1560"/>
            <w:vAlign w:val="top"/>
          </w:tcPr>
          <w:p>
            <w:pPr>
              <w:keepNext w:val="0"/>
              <w:spacing w:line="252" w:lineRule="auto" w:after="40" w:before="40"/>
            </w:pPr>
            <w:r>
              <w:rPr>
                <w:rFonts w:ascii="Times New Roman" w:hAnsi="Times New Roman"/>
                <w:b w:val="0"/>
                <w:sz w:val="18"/>
              </w:rPr>
              <w:t>No silent seeds; 12 explicit records</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A02</w:t>
            </w:r>
          </w:p>
        </w:tc>
        <w:tc>
          <w:tcPr>
            <w:tcW w:type="dxa" w:w="1560"/>
            <w:vAlign w:val="top"/>
          </w:tcPr>
          <w:p>
            <w:pPr>
              <w:keepNext w:val="0"/>
              <w:spacing w:line="252" w:lineRule="auto" w:after="40" w:before="40"/>
            </w:pPr>
            <w:r>
              <w:rPr>
                <w:rFonts w:ascii="Times New Roman" w:hAnsi="Times New Roman"/>
                <w:b w:val="0"/>
                <w:sz w:val="18"/>
              </w:rPr>
              <w:t>Access and quality constraints</w:t>
            </w:r>
          </w:p>
        </w:tc>
        <w:tc>
          <w:tcPr>
            <w:tcW w:type="dxa" w:w="1560"/>
            <w:vAlign w:val="top"/>
          </w:tcPr>
          <w:p>
            <w:pPr>
              <w:keepNext w:val="0"/>
              <w:spacing w:line="252" w:lineRule="auto" w:after="40" w:before="40"/>
            </w:pPr>
            <w:r>
              <w:rPr>
                <w:rFonts w:ascii="Times New Roman" w:hAnsi="Times New Roman"/>
                <w:b w:val="0"/>
                <w:sz w:val="18"/>
              </w:rPr>
              <w:t>Holds, hours, gaps and failed analysis</w:t>
            </w:r>
          </w:p>
        </w:tc>
        <w:tc>
          <w:tcPr>
            <w:tcW w:type="dxa" w:w="1560"/>
            <w:vAlign w:val="top"/>
          </w:tcPr>
          <w:p>
            <w:pPr>
              <w:keepNext w:val="0"/>
              <w:spacing w:line="252" w:lineRule="auto" w:after="40" w:before="40"/>
            </w:pPr>
            <w:r>
              <w:rPr>
                <w:rFonts w:ascii="Times New Roman" w:hAnsi="Times New Roman"/>
                <w:b w:val="0"/>
                <w:sz w:val="18"/>
              </w:rPr>
              <w:t>Protected cases stay Standard</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A03</w:t>
            </w:r>
          </w:p>
        </w:tc>
        <w:tc>
          <w:tcPr>
            <w:tcW w:type="dxa" w:w="1560"/>
            <w:vAlign w:val="top"/>
          </w:tcPr>
          <w:p>
            <w:pPr>
              <w:keepNext w:val="0"/>
              <w:spacing w:line="252" w:lineRule="auto" w:after="40" w:before="40"/>
            </w:pPr>
            <w:r>
              <w:rPr>
                <w:rFonts w:ascii="Times New Roman" w:hAnsi="Times New Roman"/>
                <w:b w:val="0"/>
                <w:sz w:val="18"/>
              </w:rPr>
              <w:t>Placement version and restore</w:t>
            </w:r>
          </w:p>
        </w:tc>
        <w:tc>
          <w:tcPr>
            <w:tcW w:type="dxa" w:w="1560"/>
            <w:vAlign w:val="top"/>
          </w:tcPr>
          <w:p>
            <w:pPr>
              <w:keepNext w:val="0"/>
              <w:spacing w:line="252" w:lineRule="auto" w:after="40" w:before="40"/>
            </w:pPr>
            <w:r>
              <w:rPr>
                <w:rFonts w:ascii="Times New Roman" w:hAnsi="Times New Roman"/>
                <w:b w:val="0"/>
                <w:sz w:val="18"/>
              </w:rPr>
              <w:t>Stale/current study versions</w:t>
            </w:r>
          </w:p>
        </w:tc>
        <w:tc>
          <w:tcPr>
            <w:tcW w:type="dxa" w:w="1560"/>
            <w:vAlign w:val="top"/>
          </w:tcPr>
          <w:p>
            <w:pPr>
              <w:keepNext w:val="0"/>
              <w:spacing w:line="252" w:lineRule="auto" w:after="40" w:before="40"/>
            </w:pPr>
            <w:r>
              <w:rPr>
                <w:rFonts w:ascii="Times New Roman" w:hAnsi="Times New Roman"/>
                <w:b w:val="0"/>
                <w:sz w:val="18"/>
              </w:rPr>
              <w:t>Reject stale; restore bundle</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A04</w:t>
            </w:r>
          </w:p>
        </w:tc>
        <w:tc>
          <w:tcPr>
            <w:tcW w:type="dxa" w:w="1560"/>
            <w:vAlign w:val="top"/>
          </w:tcPr>
          <w:p>
            <w:pPr>
              <w:keepNext w:val="0"/>
              <w:spacing w:line="252" w:lineRule="auto" w:after="40" w:before="40"/>
            </w:pPr>
            <w:r>
              <w:rPr>
                <w:rFonts w:ascii="Times New Roman" w:hAnsi="Times New Roman"/>
                <w:b w:val="0"/>
                <w:sz w:val="18"/>
              </w:rPr>
              <w:t>NIfTI and clinical import</w:t>
            </w:r>
          </w:p>
        </w:tc>
        <w:tc>
          <w:tcPr>
            <w:tcW w:type="dxa" w:w="1560"/>
            <w:vAlign w:val="top"/>
          </w:tcPr>
          <w:p>
            <w:pPr>
              <w:keepNext w:val="0"/>
              <w:spacing w:line="252" w:lineRule="auto" w:after="40" w:before="40"/>
            </w:pPr>
            <w:r>
              <w:rPr>
                <w:rFonts w:ascii="Times New Roman" w:hAnsi="Times New Roman"/>
                <w:b w:val="0"/>
                <w:sz w:val="18"/>
              </w:rPr>
              <w:t>Synthetic volumes and exact CSV</w:t>
            </w:r>
          </w:p>
        </w:tc>
        <w:tc>
          <w:tcPr>
            <w:tcW w:type="dxa" w:w="1560"/>
            <w:vAlign w:val="top"/>
          </w:tcPr>
          <w:p>
            <w:pPr>
              <w:keepNext w:val="0"/>
              <w:spacing w:line="252" w:lineRule="auto" w:after="40" w:before="40"/>
            </w:pPr>
            <w:r>
              <w:rPr>
                <w:rFonts w:ascii="Times New Roman" w:hAnsi="Times New Roman"/>
                <w:b w:val="0"/>
                <w:sz w:val="18"/>
              </w:rPr>
              <w:t>Measured sizes, hashes and PNG</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A05</w:t>
            </w:r>
          </w:p>
        </w:tc>
        <w:tc>
          <w:tcPr>
            <w:tcW w:type="dxa" w:w="1560"/>
            <w:vAlign w:val="top"/>
          </w:tcPr>
          <w:p>
            <w:pPr>
              <w:keepNext w:val="0"/>
              <w:spacing w:line="252" w:lineRule="auto" w:after="40" w:before="40"/>
            </w:pPr>
            <w:r>
              <w:rPr>
                <w:rFonts w:ascii="Times New Roman" w:hAnsi="Times New Roman"/>
                <w:b w:val="0"/>
                <w:sz w:val="18"/>
              </w:rPr>
              <w:t>Ambiguous clinical join</w:t>
            </w:r>
          </w:p>
        </w:tc>
        <w:tc>
          <w:tcPr>
            <w:tcW w:type="dxa" w:w="1560"/>
            <w:vAlign w:val="top"/>
          </w:tcPr>
          <w:p>
            <w:pPr>
              <w:keepNext w:val="0"/>
              <w:spacing w:line="252" w:lineRule="auto" w:after="40" w:before="40"/>
            </w:pPr>
            <w:r>
              <w:rPr>
                <w:rFonts w:ascii="Times New Roman" w:hAnsi="Times New Roman"/>
                <w:b w:val="0"/>
                <w:sz w:val="18"/>
              </w:rPr>
              <w:t>Duplicate exact CSV IDs</w:t>
            </w:r>
          </w:p>
        </w:tc>
        <w:tc>
          <w:tcPr>
            <w:tcW w:type="dxa" w:w="1560"/>
            <w:vAlign w:val="top"/>
          </w:tcPr>
          <w:p>
            <w:pPr>
              <w:keepNext w:val="0"/>
              <w:spacing w:line="252" w:lineRule="auto" w:after="40" w:before="40"/>
            </w:pPr>
            <w:r>
              <w:rPr>
                <w:rFonts w:ascii="Times New Roman" w:hAnsi="Times New Roman"/>
                <w:b w:val="0"/>
                <w:sz w:val="18"/>
              </w:rPr>
              <w:t>Ambiguous; guarded policy</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A06</w:t>
            </w:r>
          </w:p>
        </w:tc>
        <w:tc>
          <w:tcPr>
            <w:tcW w:type="dxa" w:w="1560"/>
            <w:vAlign w:val="top"/>
          </w:tcPr>
          <w:p>
            <w:pPr>
              <w:keepNext w:val="0"/>
              <w:spacing w:line="252" w:lineRule="auto" w:after="40" w:before="40"/>
            </w:pPr>
            <w:r>
              <w:rPr>
                <w:rFonts w:ascii="Times New Roman" w:hAnsi="Times New Roman"/>
                <w:b w:val="0"/>
                <w:sz w:val="18"/>
              </w:rPr>
              <w:t>Input/workload validation</w:t>
            </w:r>
          </w:p>
        </w:tc>
        <w:tc>
          <w:tcPr>
            <w:tcW w:type="dxa" w:w="1560"/>
            <w:vAlign w:val="top"/>
          </w:tcPr>
          <w:p>
            <w:pPr>
              <w:keepNext w:val="0"/>
              <w:spacing w:line="252" w:lineRule="auto" w:after="40" w:before="40"/>
            </w:pPr>
            <w:r>
              <w:rPr>
                <w:rFonts w:ascii="Times New Roman" w:hAnsi="Times New Roman"/>
                <w:b w:val="0"/>
                <w:sz w:val="18"/>
              </w:rPr>
              <w:t>Invalid types and nonfinite values</w:t>
            </w:r>
          </w:p>
        </w:tc>
        <w:tc>
          <w:tcPr>
            <w:tcW w:type="dxa" w:w="1560"/>
            <w:vAlign w:val="top"/>
          </w:tcPr>
          <w:p>
            <w:pPr>
              <w:keepNext w:val="0"/>
              <w:spacing w:line="252" w:lineRule="auto" w:after="40" w:before="40"/>
            </w:pPr>
            <w:r>
              <w:rPr>
                <w:rFonts w:ascii="Times New Roman" w:hAnsi="Times New Roman"/>
                <w:b w:val="0"/>
                <w:sz w:val="18"/>
              </w:rPr>
              <w:t>Reject invalid request</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A07</w:t>
            </w:r>
          </w:p>
        </w:tc>
        <w:tc>
          <w:tcPr>
            <w:tcW w:type="dxa" w:w="1560"/>
            <w:vAlign w:val="top"/>
          </w:tcPr>
          <w:p>
            <w:pPr>
              <w:keepNext w:val="0"/>
              <w:spacing w:line="252" w:lineRule="auto" w:after="40" w:before="40"/>
            </w:pPr>
            <w:r>
              <w:rPr>
                <w:rFonts w:ascii="Times New Roman" w:hAnsi="Times New Roman"/>
                <w:b w:val="0"/>
                <w:sz w:val="18"/>
              </w:rPr>
              <w:t>Cost totals and sequence gates</w:t>
            </w:r>
          </w:p>
        </w:tc>
        <w:tc>
          <w:tcPr>
            <w:tcW w:type="dxa" w:w="1560"/>
            <w:vAlign w:val="top"/>
          </w:tcPr>
          <w:p>
            <w:pPr>
              <w:keepNext w:val="0"/>
              <w:spacing w:line="252" w:lineRule="auto" w:after="40" w:before="40"/>
            </w:pPr>
            <w:r>
              <w:rPr>
                <w:rFonts w:ascii="Times New Roman" w:hAnsi="Times New Roman"/>
                <w:b w:val="0"/>
                <w:sz w:val="18"/>
              </w:rPr>
              <w:t>Six-month fixture scenario</w:t>
            </w:r>
          </w:p>
        </w:tc>
        <w:tc>
          <w:tcPr>
            <w:tcW w:type="dxa" w:w="1560"/>
            <w:vAlign w:val="top"/>
          </w:tcPr>
          <w:p>
            <w:pPr>
              <w:keepNext w:val="0"/>
              <w:spacing w:line="252" w:lineRule="auto" w:after="40" w:before="40"/>
            </w:pPr>
            <w:r>
              <w:rPr>
                <w:rFonts w:ascii="Times New Roman" w:hAnsi="Times New Roman"/>
                <w:b w:val="0"/>
                <w:sz w:val="18"/>
              </w:rPr>
              <w:t>Components sum; incomplete rejected</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A08</w:t>
            </w:r>
          </w:p>
        </w:tc>
        <w:tc>
          <w:tcPr>
            <w:tcW w:type="dxa" w:w="1560"/>
            <w:vAlign w:val="top"/>
          </w:tcPr>
          <w:p>
            <w:pPr>
              <w:keepNext w:val="0"/>
              <w:spacing w:line="252" w:lineRule="auto" w:after="40" w:before="40"/>
            </w:pPr>
            <w:r>
              <w:rPr>
                <w:rFonts w:ascii="Times New Roman" w:hAnsi="Times New Roman"/>
                <w:b w:val="0"/>
                <w:sz w:val="18"/>
              </w:rPr>
              <w:t>Malformed file cleanup</w:t>
            </w:r>
          </w:p>
        </w:tc>
        <w:tc>
          <w:tcPr>
            <w:tcW w:type="dxa" w:w="1560"/>
            <w:vAlign w:val="top"/>
          </w:tcPr>
          <w:p>
            <w:pPr>
              <w:keepNext w:val="0"/>
              <w:spacing w:line="252" w:lineRule="auto" w:after="40" w:before="40"/>
            </w:pPr>
            <w:r>
              <w:rPr>
                <w:rFonts w:ascii="Times New Roman" w:hAnsi="Times New Roman"/>
                <w:b w:val="0"/>
                <w:sz w:val="18"/>
              </w:rPr>
              <w:t>Invalid NIfTI bytes</w:t>
            </w:r>
          </w:p>
        </w:tc>
        <w:tc>
          <w:tcPr>
            <w:tcW w:type="dxa" w:w="1560"/>
            <w:vAlign w:val="top"/>
          </w:tcPr>
          <w:p>
            <w:pPr>
              <w:keepNext w:val="0"/>
              <w:spacing w:line="252" w:lineRule="auto" w:after="40" w:before="40"/>
            </w:pPr>
            <w:r>
              <w:rPr>
                <w:rFonts w:ascii="Times New Roman" w:hAnsi="Times New Roman"/>
                <w:b w:val="0"/>
                <w:sz w:val="18"/>
              </w:rPr>
              <w:t>No partial records/files</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A09</w:t>
            </w:r>
          </w:p>
        </w:tc>
        <w:tc>
          <w:tcPr>
            <w:tcW w:type="dxa" w:w="1560"/>
            <w:vAlign w:val="top"/>
          </w:tcPr>
          <w:p>
            <w:pPr>
              <w:keepNext w:val="0"/>
              <w:spacing w:line="252" w:lineRule="auto" w:after="40" w:before="40"/>
            </w:pPr>
            <w:r>
              <w:rPr>
                <w:rFonts w:ascii="Times New Roman" w:hAnsi="Times New Roman"/>
                <w:b w:val="0"/>
                <w:sz w:val="18"/>
              </w:rPr>
              <w:t>DICOM integrity</w:t>
            </w:r>
          </w:p>
        </w:tc>
        <w:tc>
          <w:tcPr>
            <w:tcW w:type="dxa" w:w="1560"/>
            <w:vAlign w:val="top"/>
          </w:tcPr>
          <w:p>
            <w:pPr>
              <w:keepNext w:val="0"/>
              <w:spacing w:line="252" w:lineRule="auto" w:after="40" w:before="40"/>
            </w:pPr>
            <w:r>
              <w:rPr>
                <w:rFonts w:ascii="Times New Roman" w:hAnsi="Times New Roman"/>
                <w:b w:val="0"/>
                <w:sz w:val="18"/>
              </w:rPr>
              <w:t>Synthetic headers and mismatch</w:t>
            </w:r>
          </w:p>
        </w:tc>
        <w:tc>
          <w:tcPr>
            <w:tcW w:type="dxa" w:w="1560"/>
            <w:vAlign w:val="top"/>
          </w:tcPr>
          <w:p>
            <w:pPr>
              <w:keepNext w:val="0"/>
              <w:spacing w:line="252" w:lineRule="auto" w:after="40" w:before="40"/>
            </w:pPr>
            <w:r>
              <w:rPr>
                <w:rFonts w:ascii="Times New Roman" w:hAnsi="Times New Roman"/>
                <w:b w:val="0"/>
                <w:sz w:val="18"/>
              </w:rPr>
              <w:t>Extract geometry; reject mismatch</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A10</w:t>
            </w:r>
          </w:p>
        </w:tc>
        <w:tc>
          <w:tcPr>
            <w:tcW w:type="dxa" w:w="1560"/>
            <w:vAlign w:val="top"/>
          </w:tcPr>
          <w:p>
            <w:pPr>
              <w:keepNext w:val="0"/>
              <w:spacing w:line="252" w:lineRule="auto" w:after="40" w:before="40"/>
            </w:pPr>
            <w:r>
              <w:rPr>
                <w:rFonts w:ascii="Times New Roman" w:hAnsi="Times New Roman"/>
                <w:b w:val="0"/>
                <w:sz w:val="18"/>
              </w:rPr>
              <w:t>V2 cloud gate</w:t>
            </w:r>
          </w:p>
        </w:tc>
        <w:tc>
          <w:tcPr>
            <w:tcW w:type="dxa" w:w="1560"/>
            <w:vAlign w:val="top"/>
          </w:tcPr>
          <w:p>
            <w:pPr>
              <w:keepNext w:val="0"/>
              <w:spacing w:line="252" w:lineRule="auto" w:after="40" w:before="40"/>
            </w:pPr>
            <w:r>
              <w:rPr>
                <w:rFonts w:ascii="Times New Roman" w:hAnsi="Times New Roman"/>
                <w:b w:val="0"/>
                <w:sz w:val="18"/>
              </w:rPr>
              <w:t>DynamoDB-mode archive API</w:t>
            </w:r>
          </w:p>
        </w:tc>
        <w:tc>
          <w:tcPr>
            <w:tcW w:type="dxa" w:w="1560"/>
            <w:vAlign w:val="top"/>
          </w:tcPr>
          <w:p>
            <w:pPr>
              <w:keepNext w:val="0"/>
              <w:spacing w:line="252" w:lineRule="auto" w:after="40" w:before="40"/>
            </w:pPr>
            <w:r>
              <w:rPr>
                <w:rFonts w:ascii="Times New Roman" w:hAnsi="Times New Roman"/>
                <w:b w:val="0"/>
                <w:sz w:val="18"/>
              </w:rPr>
              <w:t>HTTP 501</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A11</w:t>
            </w:r>
          </w:p>
        </w:tc>
        <w:tc>
          <w:tcPr>
            <w:tcW w:type="dxa" w:w="1560"/>
            <w:vAlign w:val="top"/>
          </w:tcPr>
          <w:p>
            <w:pPr>
              <w:keepNext w:val="0"/>
              <w:spacing w:line="252" w:lineRule="auto" w:after="40" w:before="40"/>
            </w:pPr>
            <w:r>
              <w:rPr>
                <w:rFonts w:ascii="Times New Roman" w:hAnsi="Times New Roman"/>
                <w:b w:val="0"/>
                <w:sz w:val="18"/>
              </w:rPr>
              <w:t>Interrupted worker</w:t>
            </w:r>
          </w:p>
        </w:tc>
        <w:tc>
          <w:tcPr>
            <w:tcW w:type="dxa" w:w="1560"/>
            <w:vAlign w:val="top"/>
          </w:tcPr>
          <w:p>
            <w:pPr>
              <w:keepNext w:val="0"/>
              <w:spacing w:line="252" w:lineRule="auto" w:after="40" w:before="40"/>
            </w:pPr>
            <w:r>
              <w:rPr>
                <w:rFonts w:ascii="Times New Roman" w:hAnsi="Times New Roman"/>
                <w:b w:val="0"/>
                <w:sz w:val="18"/>
              </w:rPr>
              <w:t>RUNNING record with active hold</w:t>
            </w:r>
          </w:p>
        </w:tc>
        <w:tc>
          <w:tcPr>
            <w:tcW w:type="dxa" w:w="1560"/>
            <w:vAlign w:val="top"/>
          </w:tcPr>
          <w:p>
            <w:pPr>
              <w:keepNext w:val="0"/>
              <w:spacing w:line="252" w:lineRule="auto" w:after="40" w:before="40"/>
            </w:pPr>
            <w:r>
              <w:rPr>
                <w:rFonts w:ascii="Times New Roman" w:hAnsi="Times New Roman"/>
                <w:b w:val="0"/>
                <w:sz w:val="18"/>
              </w:rPr>
              <w:t>Mark failed; preserve access</w:t>
            </w:r>
          </w:p>
        </w:tc>
        <w:tc>
          <w:tcPr>
            <w:tcW w:type="dxa" w:w="1560"/>
            <w:vAlign w:val="top"/>
          </w:tcPr>
          <w:p>
            <w:pPr>
              <w:keepNext w:val="0"/>
              <w:spacing w:line="252" w:lineRule="auto" w:after="40" w:before="40"/>
            </w:pPr>
            <w:r>
              <w:rPr>
                <w:rFonts w:ascii="Times New Roman" w:hAnsi="Times New Roman"/>
                <w:b w:val="0"/>
                <w:sz w:val="18"/>
              </w:rPr>
              <w:t>As expected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B01</w:t>
            </w:r>
          </w:p>
        </w:tc>
        <w:tc>
          <w:tcPr>
            <w:tcW w:type="dxa" w:w="1560"/>
            <w:vAlign w:val="top"/>
          </w:tcPr>
          <w:p>
            <w:pPr>
              <w:keepNext w:val="0"/>
              <w:spacing w:line="252" w:lineRule="auto" w:after="40" w:before="40"/>
            </w:pPr>
            <w:r>
              <w:rPr>
                <w:rFonts w:ascii="Times New Roman" w:hAnsi="Times New Roman"/>
                <w:b w:val="0"/>
                <w:sz w:val="18"/>
              </w:rPr>
              <w:t>Legacy local API</w:t>
            </w:r>
          </w:p>
        </w:tc>
        <w:tc>
          <w:tcPr>
            <w:tcW w:type="dxa" w:w="1560"/>
            <w:vAlign w:val="top"/>
          </w:tcPr>
          <w:p>
            <w:pPr>
              <w:keepNext w:val="0"/>
              <w:spacing w:line="252" w:lineRule="auto" w:after="40" w:before="40"/>
            </w:pPr>
            <w:r>
              <w:rPr>
                <w:rFonts w:ascii="Times New Roman" w:hAnsi="Times New Roman"/>
                <w:b w:val="0"/>
                <w:sz w:val="18"/>
              </w:rPr>
              <w:t>5 automated cases</w:t>
            </w:r>
          </w:p>
        </w:tc>
        <w:tc>
          <w:tcPr>
            <w:tcW w:type="dxa" w:w="1560"/>
            <w:vAlign w:val="top"/>
          </w:tcPr>
          <w:p>
            <w:pPr>
              <w:keepNext w:val="0"/>
              <w:spacing w:line="252" w:lineRule="auto" w:after="40" w:before="40"/>
            </w:pPr>
            <w:r>
              <w:rPr>
                <w:rFonts w:ascii="Times New Roman" w:hAnsi="Times New Roman"/>
                <w:b w:val="0"/>
                <w:sz w:val="18"/>
              </w:rPr>
              <w:t>Valid API and operations</w:t>
            </w:r>
          </w:p>
        </w:tc>
        <w:tc>
          <w:tcPr>
            <w:tcW w:type="dxa" w:w="1560"/>
            <w:vAlign w:val="top"/>
          </w:tcPr>
          <w:p>
            <w:pPr>
              <w:keepNext w:val="0"/>
              <w:spacing w:line="252" w:lineRule="auto" w:after="40" w:before="40"/>
            </w:pPr>
            <w:r>
              <w:rPr>
                <w:rFonts w:ascii="Times New Roman" w:hAnsi="Times New Roman"/>
                <w:b w:val="0"/>
                <w:sz w:val="18"/>
              </w:rPr>
              <w:t>5 passed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B02</w:t>
            </w:r>
          </w:p>
        </w:tc>
        <w:tc>
          <w:tcPr>
            <w:tcW w:type="dxa" w:w="1560"/>
            <w:vAlign w:val="top"/>
          </w:tcPr>
          <w:p>
            <w:pPr>
              <w:keepNext w:val="0"/>
              <w:spacing w:line="252" w:lineRule="auto" w:after="40" w:before="40"/>
            </w:pPr>
            <w:r>
              <w:rPr>
                <w:rFonts w:ascii="Times New Roman" w:hAnsi="Times New Roman"/>
                <w:b w:val="0"/>
                <w:sz w:val="18"/>
              </w:rPr>
              <w:t>Cloud API</w:t>
            </w:r>
          </w:p>
        </w:tc>
        <w:tc>
          <w:tcPr>
            <w:tcW w:type="dxa" w:w="1560"/>
            <w:vAlign w:val="top"/>
          </w:tcPr>
          <w:p>
            <w:pPr>
              <w:keepNext w:val="0"/>
              <w:spacing w:line="252" w:lineRule="auto" w:after="40" w:before="40"/>
            </w:pPr>
            <w:r>
              <w:rPr>
                <w:rFonts w:ascii="Times New Roman" w:hAnsi="Times New Roman"/>
                <w:b w:val="0"/>
                <w:sz w:val="18"/>
              </w:rPr>
              <w:t>5 cases with mocked AWS</w:t>
            </w:r>
          </w:p>
        </w:tc>
        <w:tc>
          <w:tcPr>
            <w:tcW w:type="dxa" w:w="1560"/>
            <w:vAlign w:val="top"/>
          </w:tcPr>
          <w:p>
            <w:pPr>
              <w:keepNext w:val="0"/>
              <w:spacing w:line="252" w:lineRule="auto" w:after="40" w:before="40"/>
            </w:pPr>
            <w:r>
              <w:rPr>
                <w:rFonts w:ascii="Times New Roman" w:hAnsi="Times New Roman"/>
                <w:b w:val="0"/>
                <w:sz w:val="18"/>
              </w:rPr>
              <w:t>Role checks and cloud calls</w:t>
            </w:r>
          </w:p>
        </w:tc>
        <w:tc>
          <w:tcPr>
            <w:tcW w:type="dxa" w:w="1560"/>
            <w:vAlign w:val="top"/>
          </w:tcPr>
          <w:p>
            <w:pPr>
              <w:keepNext w:val="0"/>
              <w:spacing w:line="252" w:lineRule="auto" w:after="40" w:before="40"/>
            </w:pPr>
            <w:r>
              <w:rPr>
                <w:rFonts w:ascii="Times New Roman" w:hAnsi="Times New Roman"/>
                <w:b w:val="0"/>
                <w:sz w:val="18"/>
              </w:rPr>
              <w:t>5 passed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B03</w:t>
            </w:r>
          </w:p>
        </w:tc>
        <w:tc>
          <w:tcPr>
            <w:tcW w:type="dxa" w:w="1560"/>
            <w:vAlign w:val="top"/>
          </w:tcPr>
          <w:p>
            <w:pPr>
              <w:keepNext w:val="0"/>
              <w:spacing w:line="252" w:lineRule="auto" w:after="40" w:before="40"/>
            </w:pPr>
            <w:r>
              <w:rPr>
                <w:rFonts w:ascii="Times New Roman" w:hAnsi="Times New Roman"/>
                <w:b w:val="0"/>
                <w:sz w:val="18"/>
              </w:rPr>
              <w:t>Decision engine</w:t>
            </w:r>
          </w:p>
        </w:tc>
        <w:tc>
          <w:tcPr>
            <w:tcW w:type="dxa" w:w="1560"/>
            <w:vAlign w:val="top"/>
          </w:tcPr>
          <w:p>
            <w:pPr>
              <w:keepNext w:val="0"/>
              <w:spacing w:line="252" w:lineRule="auto" w:after="40" w:before="40"/>
            </w:pPr>
            <w:r>
              <w:rPr>
                <w:rFonts w:ascii="Times New Roman" w:hAnsi="Times New Roman"/>
                <w:b w:val="0"/>
                <w:sz w:val="18"/>
              </w:rPr>
              <w:t>4 automated cases</w:t>
            </w:r>
          </w:p>
        </w:tc>
        <w:tc>
          <w:tcPr>
            <w:tcW w:type="dxa" w:w="1560"/>
            <w:vAlign w:val="top"/>
          </w:tcPr>
          <w:p>
            <w:pPr>
              <w:keepNext w:val="0"/>
              <w:spacing w:line="252" w:lineRule="auto" w:after="40" w:before="40"/>
            </w:pPr>
            <w:r>
              <w:rPr>
                <w:rFonts w:ascii="Times New Roman" w:hAnsi="Times New Roman"/>
                <w:b w:val="0"/>
                <w:sz w:val="18"/>
              </w:rPr>
              <w:t>Costs, guards, serializable policy</w:t>
            </w:r>
          </w:p>
        </w:tc>
        <w:tc>
          <w:tcPr>
            <w:tcW w:type="dxa" w:w="1560"/>
            <w:vAlign w:val="top"/>
          </w:tcPr>
          <w:p>
            <w:pPr>
              <w:keepNext w:val="0"/>
              <w:spacing w:line="252" w:lineRule="auto" w:after="40" w:before="40"/>
            </w:pPr>
            <w:r>
              <w:rPr>
                <w:rFonts w:ascii="Times New Roman" w:hAnsi="Times New Roman"/>
                <w:b w:val="0"/>
                <w:sz w:val="18"/>
              </w:rPr>
              <w:t>4 passed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B04</w:t>
            </w:r>
          </w:p>
        </w:tc>
        <w:tc>
          <w:tcPr>
            <w:tcW w:type="dxa" w:w="1560"/>
            <w:vAlign w:val="top"/>
          </w:tcPr>
          <w:p>
            <w:pPr>
              <w:keepNext w:val="0"/>
              <w:spacing w:line="252" w:lineRule="auto" w:after="40" w:before="40"/>
            </w:pPr>
            <w:r>
              <w:rPr>
                <w:rFonts w:ascii="Times New Roman" w:hAnsi="Times New Roman"/>
                <w:b w:val="0"/>
                <w:sz w:val="18"/>
              </w:rPr>
              <w:t>Event handler</w:t>
            </w:r>
          </w:p>
        </w:tc>
        <w:tc>
          <w:tcPr>
            <w:tcW w:type="dxa" w:w="1560"/>
            <w:vAlign w:val="top"/>
          </w:tcPr>
          <w:p>
            <w:pPr>
              <w:keepNext w:val="0"/>
              <w:spacing w:line="252" w:lineRule="auto" w:after="40" w:before="40"/>
            </w:pPr>
            <w:r>
              <w:rPr>
                <w:rFonts w:ascii="Times New Roman" w:hAnsi="Times New Roman"/>
                <w:b w:val="0"/>
                <w:sz w:val="18"/>
              </w:rPr>
              <w:t>3 cases with mocked AWS</w:t>
            </w:r>
          </w:p>
        </w:tc>
        <w:tc>
          <w:tcPr>
            <w:tcW w:type="dxa" w:w="1560"/>
            <w:vAlign w:val="top"/>
          </w:tcPr>
          <w:p>
            <w:pPr>
              <w:keepNext w:val="0"/>
              <w:spacing w:line="252" w:lineRule="auto" w:after="40" w:before="40"/>
            </w:pPr>
            <w:r>
              <w:rPr>
                <w:rFonts w:ascii="Times New Roman" w:hAnsi="Times New Roman"/>
                <w:b w:val="0"/>
                <w:sz w:val="18"/>
              </w:rPr>
              <w:t>Safe missing features and tags</w:t>
            </w:r>
          </w:p>
        </w:tc>
        <w:tc>
          <w:tcPr>
            <w:tcW w:type="dxa" w:w="1560"/>
            <w:vAlign w:val="top"/>
          </w:tcPr>
          <w:p>
            <w:pPr>
              <w:keepNext w:val="0"/>
              <w:spacing w:line="252" w:lineRule="auto" w:after="40" w:before="40"/>
            </w:pPr>
            <w:r>
              <w:rPr>
                <w:rFonts w:ascii="Times New Roman" w:hAnsi="Times New Roman"/>
                <w:b w:val="0"/>
                <w:sz w:val="18"/>
              </w:rPr>
              <w:t>3 passed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B05</w:t>
            </w:r>
          </w:p>
        </w:tc>
        <w:tc>
          <w:tcPr>
            <w:tcW w:type="dxa" w:w="1560"/>
            <w:vAlign w:val="top"/>
          </w:tcPr>
          <w:p>
            <w:pPr>
              <w:keepNext w:val="0"/>
              <w:spacing w:line="252" w:lineRule="auto" w:after="40" w:before="40"/>
            </w:pPr>
            <w:r>
              <w:rPr>
                <w:rFonts w:ascii="Times New Roman" w:hAnsi="Times New Roman"/>
                <w:b w:val="0"/>
                <w:sz w:val="18"/>
              </w:rPr>
              <w:t>Frontend production</w:t>
            </w:r>
          </w:p>
        </w:tc>
        <w:tc>
          <w:tcPr>
            <w:tcW w:type="dxa" w:w="1560"/>
            <w:vAlign w:val="top"/>
          </w:tcPr>
          <w:p>
            <w:pPr>
              <w:keepNext w:val="0"/>
              <w:spacing w:line="252" w:lineRule="auto" w:after="40" w:before="40"/>
            </w:pPr>
            <w:r>
              <w:rPr>
                <w:rFonts w:ascii="Times New Roman" w:hAnsi="Times New Roman"/>
                <w:b w:val="0"/>
                <w:sz w:val="18"/>
              </w:rPr>
              <w:t>Vite build</w:t>
            </w:r>
          </w:p>
        </w:tc>
        <w:tc>
          <w:tcPr>
            <w:tcW w:type="dxa" w:w="1560"/>
            <w:vAlign w:val="top"/>
          </w:tcPr>
          <w:p>
            <w:pPr>
              <w:keepNext w:val="0"/>
              <w:spacing w:line="252" w:lineRule="auto" w:after="40" w:before="40"/>
            </w:pPr>
            <w:r>
              <w:rPr>
                <w:rFonts w:ascii="Times New Roman" w:hAnsi="Times New Roman"/>
                <w:b w:val="0"/>
                <w:sz w:val="18"/>
              </w:rPr>
              <w:t>Production assets emitted</w:t>
            </w:r>
          </w:p>
        </w:tc>
        <w:tc>
          <w:tcPr>
            <w:tcW w:type="dxa" w:w="1560"/>
            <w:vAlign w:val="top"/>
          </w:tcPr>
          <w:p>
            <w:pPr>
              <w:keepNext w:val="0"/>
              <w:spacing w:line="252" w:lineRule="auto" w:after="40" w:before="40"/>
            </w:pPr>
            <w:r>
              <w:rPr>
                <w:rFonts w:ascii="Times New Roman" w:hAnsi="Times New Roman"/>
                <w:b w:val="0"/>
                <w:sz w:val="18"/>
              </w:rPr>
              <w:t>Build passed</w:t>
            </w:r>
          </w:p>
        </w:tc>
        <w:tc>
          <w:tcPr>
            <w:tcW w:type="dxa" w:w="1560"/>
            <w:vAlign w:val="top"/>
          </w:tcPr>
          <w:p>
            <w:pPr>
              <w:keepNext w:val="0"/>
              <w:spacing w:line="252" w:lineRule="auto" w:after="40" w:before="40"/>
            </w:pPr>
            <w:r>
              <w:rPr>
                <w:rFonts w:ascii="Times New Roman" w:hAnsi="Times New Roman"/>
                <w:b w:val="0"/>
                <w:sz w:val="18"/>
              </w:rPr>
              <w:t>Pass</w:t>
            </w:r>
          </w:p>
        </w:tc>
      </w:tr>
      <w:tr>
        <w:trPr>
          <w:cantSplit w:val="true"/>
        </w:trPr>
        <w:tc>
          <w:tcPr>
            <w:tcW w:type="dxa" w:w="1560"/>
            <w:vAlign w:val="top"/>
          </w:tcPr>
          <w:p>
            <w:pPr>
              <w:keepNext w:val="0"/>
              <w:spacing w:line="252" w:lineRule="auto" w:after="40" w:before="40"/>
            </w:pPr>
            <w:r>
              <w:rPr>
                <w:rFonts w:ascii="Times New Roman" w:hAnsi="Times New Roman"/>
                <w:b w:val="0"/>
                <w:sz w:val="18"/>
              </w:rPr>
              <w:t>B06</w:t>
            </w:r>
          </w:p>
        </w:tc>
        <w:tc>
          <w:tcPr>
            <w:tcW w:type="dxa" w:w="1560"/>
            <w:vAlign w:val="top"/>
          </w:tcPr>
          <w:p>
            <w:pPr>
              <w:keepNext w:val="0"/>
              <w:spacing w:line="252" w:lineRule="auto" w:after="40" w:before="40"/>
            </w:pPr>
            <w:r>
              <w:rPr>
                <w:rFonts w:ascii="Times New Roman" w:hAnsi="Times New Roman"/>
                <w:b w:val="0"/>
                <w:sz w:val="18"/>
              </w:rPr>
              <w:t>Real cohort and AWS</w:t>
            </w:r>
          </w:p>
        </w:tc>
        <w:tc>
          <w:tcPr>
            <w:tcW w:type="dxa" w:w="1560"/>
            <w:vAlign w:val="top"/>
          </w:tcPr>
          <w:p>
            <w:pPr>
              <w:keepNext w:val="0"/>
              <w:spacing w:line="252" w:lineRule="auto" w:after="40" w:before="40"/>
            </w:pPr>
            <w:r>
              <w:rPr>
                <w:rFonts w:ascii="Times New Roman" w:hAnsi="Times New Roman"/>
                <w:b w:val="0"/>
                <w:sz w:val="18"/>
              </w:rPr>
              <w:t>External milestones</w:t>
            </w:r>
          </w:p>
        </w:tc>
        <w:tc>
          <w:tcPr>
            <w:tcW w:type="dxa" w:w="1560"/>
            <w:vAlign w:val="top"/>
          </w:tcPr>
          <w:p>
            <w:pPr>
              <w:keepNext w:val="0"/>
              <w:spacing w:line="252" w:lineRule="auto" w:after="40" w:before="40"/>
            </w:pPr>
            <w:r>
              <w:rPr>
                <w:rFonts w:ascii="Times New Roman" w:hAnsi="Times New Roman"/>
                <w:b w:val="0"/>
                <w:sz w:val="18"/>
              </w:rPr>
              <w:t>Cohort metrics and observed transitions</w:t>
            </w:r>
          </w:p>
        </w:tc>
        <w:tc>
          <w:tcPr>
            <w:tcW w:type="dxa" w:w="1560"/>
            <w:vAlign w:val="top"/>
          </w:tcPr>
          <w:p>
            <w:pPr>
              <w:keepNext w:val="0"/>
              <w:spacing w:line="252" w:lineRule="auto" w:after="40" w:before="40"/>
            </w:pPr>
            <w:r>
              <w:rPr>
                <w:rFonts w:ascii="Times New Roman" w:hAnsi="Times New Roman"/>
                <w:b w:val="0"/>
                <w:sz w:val="18"/>
              </w:rPr>
              <w:t>Not executed</w:t>
            </w:r>
          </w:p>
        </w:tc>
        <w:tc>
          <w:tcPr>
            <w:tcW w:type="dxa" w:w="1560"/>
            <w:vAlign w:val="top"/>
          </w:tcPr>
          <w:p>
            <w:pPr>
              <w:keepNext w:val="0"/>
              <w:spacing w:line="252" w:lineRule="auto" w:after="40" w:before="40"/>
            </w:pPr>
            <w:r>
              <w:rPr>
                <w:rFonts w:ascii="Times New Roman" w:hAnsi="Times New Roman"/>
                <w:b w:val="0"/>
                <w:sz w:val="18"/>
              </w:rPr>
              <w:t>Pending</w:t>
            </w:r>
          </w:p>
        </w:tc>
      </w:tr>
    </w:tbl>
    <w:p/>
    <w:p>
      <w:pPr>
        <w:pStyle w:val="Heading2"/>
      </w:pPr>
      <w:r>
        <w:rPr>
          <w:color w:val="000000"/>
        </w:rPr>
        <w:t>10 2 Results</w:t>
      </w:r>
    </w:p>
    <w:p>
      <w:pPr>
        <w:jc w:val="both"/>
      </w:pPr>
      <w:r>
        <w:rPr>
          <w:rFonts w:ascii="Times New Roman" w:hAnsi="Times New Roman"/>
          <w:b w:val="0"/>
        </w:rPr>
        <w:t>Verification rerun on 16 October 2026: all 28 unittest cases passed, comprising 11 archive tests, 5 local legacy API tests, 5 cloud API tests, 4 decision-engine tests and 3 event-handler tests. The React/Vite production build passed with separate archive route chunks. A fresh temporary archive reproduced the 12-study synthetic sample: 46 declared objects, 10 complete studies, 11 synthetically linked clinical records and 3 studies protected by an active-use flag or hold. Declared object sizes total 2,540,699,648 bytes; these are sample metadata sizes, not downloaded MRI pixels. The model evidence dated 11 October records a synthetic 32-cube run using MONAI 1.5.2 and PyTorch 2.11.0 CPU, producing TC 5.362 mL, WT 7.930 mL and ET 1.931 mL in 0.85 seconds. Those values are synthetic outputs, not patient measurements, clinical accuracy or a runtime benchmark for full MRI volumes.</w:t>
      </w:r>
    </w:p>
    <w:p>
      <w:pPr>
        <w:pStyle w:val="Heading2"/>
      </w:pPr>
      <w:r>
        <w:rPr>
          <w:color w:val="000000"/>
        </w:rPr>
        <w:t>10 3 Baseline Comparison</w:t>
      </w:r>
    </w:p>
    <w:p>
      <w:r>
        <w:rPr>
          <w:rFonts w:ascii="Times New Roman" w:hAnsi="Times New Roman"/>
        </w:rPr>
        <w:t>Table 12 was reproduced from /api/archive/costs with a fresh sample import, horizon 12 months and one declared study access. Each policy is evaluated on the same 12 synthetic studies using the 21 September 2026 engineering snapshot. Current placement means the fixture tier mix; Study policy means the recommended constrained placement. Age-based is an unconstrained baseline and can ignore protections.</w:t>
      </w:r>
    </w:p>
    <w:p>
      <w:pPr>
        <w:keepNext/>
        <w:spacing w:after="80"/>
      </w:pPr>
      <w:r>
        <w:rPr>
          <w:rFonts w:ascii="Times New Roman" w:hAnsi="Times New Roman"/>
          <w:b/>
          <w:sz w:val="21"/>
        </w:rPr>
        <w:t>Table 12. Reproduced v2 cost simulation for 12 synthetic studies over 12 months with one declared access per study.</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50"/>
        <w:gridCol w:w="1700"/>
        <w:gridCol w:w="1750"/>
        <w:gridCol w:w="1750"/>
      </w:tblGrid>
      <w:tr>
        <w:trPr>
          <w:tblHeader w:val="true"/>
        </w:trPr>
        <w:tc>
          <w:tcPr>
            <w:tcW w:type="dxa" w:w="4150"/>
            <w:shd w:val="clear" w:color="auto" w:fill="D9EAF7"/>
            <w:vAlign w:val="center"/>
          </w:tcPr>
          <w:p>
            <w:pPr>
              <w:keepNext/>
              <w:spacing w:line="252" w:lineRule="auto" w:after="40" w:before="40"/>
            </w:pPr>
            <w:r>
              <w:rPr>
                <w:rFonts w:ascii="Times New Roman" w:hAnsi="Times New Roman"/>
                <w:b/>
                <w:sz w:val="18"/>
              </w:rPr>
              <w:t>Policy</w:t>
            </w:r>
          </w:p>
        </w:tc>
        <w:tc>
          <w:tcPr>
            <w:tcW w:type="dxa" w:w="1700"/>
            <w:shd w:val="clear" w:color="auto" w:fill="D9EAF7"/>
            <w:vAlign w:val="center"/>
          </w:tcPr>
          <w:p>
            <w:pPr>
              <w:keepNext/>
              <w:spacing w:line="252" w:lineRule="auto" w:after="40" w:before="40"/>
            </w:pPr>
            <w:r>
              <w:rPr>
                <w:rFonts w:ascii="Times New Roman" w:hAnsi="Times New Roman"/>
                <w:b/>
                <w:sz w:val="18"/>
              </w:rPr>
              <w:t>12 month modeled USD</w:t>
            </w:r>
          </w:p>
        </w:tc>
        <w:tc>
          <w:tcPr>
            <w:tcW w:type="dxa" w:w="1750"/>
            <w:shd w:val="clear" w:color="auto" w:fill="D9EAF7"/>
            <w:vAlign w:val="center"/>
          </w:tcPr>
          <w:p>
            <w:pPr>
              <w:keepNext/>
              <w:spacing w:line="252" w:lineRule="auto" w:after="40" w:before="40"/>
            </w:pPr>
            <w:r>
              <w:rPr>
                <w:rFonts w:ascii="Times New Roman" w:hAnsi="Times New Roman"/>
                <w:b/>
                <w:sz w:val="18"/>
              </w:rPr>
              <w:t>Difference from All Standard</w:t>
            </w:r>
          </w:p>
        </w:tc>
        <w:tc>
          <w:tcPr>
            <w:tcW w:type="dxa" w:w="1750"/>
            <w:shd w:val="clear" w:color="auto" w:fill="D9EAF7"/>
            <w:vAlign w:val="center"/>
          </w:tcPr>
          <w:p>
            <w:pPr>
              <w:keepNext/>
              <w:spacing w:line="252" w:lineRule="auto" w:after="40" w:before="40"/>
            </w:pPr>
            <w:r>
              <w:rPr>
                <w:rFonts w:ascii="Times New Roman" w:hAnsi="Times New Roman"/>
                <w:b/>
                <w:sz w:val="18"/>
              </w:rPr>
              <w:t>Interpretation</w:t>
            </w:r>
          </w:p>
        </w:tc>
      </w:tr>
      <w:tr>
        <w:trPr>
          <w:cantSplit w:val="true"/>
        </w:trPr>
        <w:tc>
          <w:tcPr>
            <w:tcW w:type="dxa" w:w="4150"/>
            <w:vAlign w:val="top"/>
          </w:tcPr>
          <w:p>
            <w:pPr>
              <w:keepNext w:val="0"/>
              <w:spacing w:line="252" w:lineRule="auto" w:after="40" w:before="40"/>
            </w:pPr>
            <w:r>
              <w:rPr>
                <w:rFonts w:ascii="Times New Roman" w:hAnsi="Times New Roman"/>
                <w:b w:val="0"/>
                <w:sz w:val="18"/>
              </w:rPr>
              <w:t>All Standard</w:t>
            </w:r>
          </w:p>
        </w:tc>
        <w:tc>
          <w:tcPr>
            <w:tcW w:type="dxa" w:w="1700"/>
            <w:vAlign w:val="top"/>
          </w:tcPr>
          <w:p>
            <w:pPr>
              <w:keepNext w:val="0"/>
              <w:spacing w:line="252" w:lineRule="auto" w:after="40" w:before="40"/>
            </w:pPr>
            <w:r>
              <w:rPr>
                <w:rFonts w:ascii="Times New Roman" w:hAnsi="Times New Roman"/>
                <w:b w:val="0"/>
                <w:sz w:val="18"/>
              </w:rPr>
              <w:t>0.653093</w:t>
            </w:r>
          </w:p>
        </w:tc>
        <w:tc>
          <w:tcPr>
            <w:tcW w:type="dxa" w:w="1750"/>
            <w:vAlign w:val="top"/>
          </w:tcPr>
          <w:p>
            <w:pPr>
              <w:keepNext w:val="0"/>
              <w:spacing w:line="252" w:lineRule="auto" w:after="40" w:before="40"/>
            </w:pPr>
            <w:r>
              <w:rPr>
                <w:rFonts w:ascii="Times New Roman" w:hAnsi="Times New Roman"/>
                <w:b w:val="0"/>
                <w:sz w:val="18"/>
              </w:rPr>
              <w:t>Baseline</w:t>
            </w:r>
          </w:p>
        </w:tc>
        <w:tc>
          <w:tcPr>
            <w:tcW w:type="dxa" w:w="1750"/>
            <w:vAlign w:val="top"/>
          </w:tcPr>
          <w:p>
            <w:pPr>
              <w:keepNext w:val="0"/>
              <w:spacing w:line="252" w:lineRule="auto" w:after="40" w:before="40"/>
            </w:pPr>
            <w:r>
              <w:rPr>
                <w:rFonts w:ascii="Times New Roman" w:hAnsi="Times New Roman"/>
                <w:b w:val="0"/>
                <w:sz w:val="18"/>
              </w:rPr>
              <w:t>Immediate access baseline</w:t>
            </w:r>
          </w:p>
        </w:tc>
      </w:tr>
      <w:tr>
        <w:trPr>
          <w:cantSplit w:val="true"/>
        </w:trPr>
        <w:tc>
          <w:tcPr>
            <w:tcW w:type="dxa" w:w="4150"/>
            <w:vAlign w:val="top"/>
          </w:tcPr>
          <w:p>
            <w:pPr>
              <w:keepNext w:val="0"/>
              <w:spacing w:line="252" w:lineRule="auto" w:after="40" w:before="40"/>
            </w:pPr>
            <w:r>
              <w:rPr>
                <w:rFonts w:ascii="Times New Roman" w:hAnsi="Times New Roman"/>
                <w:b w:val="0"/>
                <w:sz w:val="18"/>
              </w:rPr>
              <w:t>Age-based</w:t>
            </w:r>
          </w:p>
        </w:tc>
        <w:tc>
          <w:tcPr>
            <w:tcW w:type="dxa" w:w="1700"/>
            <w:vAlign w:val="top"/>
          </w:tcPr>
          <w:p>
            <w:pPr>
              <w:keepNext w:val="0"/>
              <w:spacing w:line="252" w:lineRule="auto" w:after="40" w:before="40"/>
            </w:pPr>
            <w:r>
              <w:rPr>
                <w:rFonts w:ascii="Times New Roman" w:hAnsi="Times New Roman"/>
                <w:b w:val="0"/>
                <w:sz w:val="18"/>
              </w:rPr>
              <w:t>0.260177</w:t>
            </w:r>
          </w:p>
        </w:tc>
        <w:tc>
          <w:tcPr>
            <w:tcW w:type="dxa" w:w="1750"/>
            <w:vAlign w:val="top"/>
          </w:tcPr>
          <w:p>
            <w:pPr>
              <w:keepNext w:val="0"/>
              <w:spacing w:line="252" w:lineRule="auto" w:after="40" w:before="40"/>
            </w:pPr>
            <w:r>
              <w:rPr>
                <w:rFonts w:ascii="Times New Roman" w:hAnsi="Times New Roman"/>
                <w:b w:val="0"/>
                <w:sz w:val="18"/>
              </w:rPr>
              <w:t>60.16% lower</w:t>
            </w:r>
          </w:p>
        </w:tc>
        <w:tc>
          <w:tcPr>
            <w:tcW w:type="dxa" w:w="1750"/>
            <w:vAlign w:val="top"/>
          </w:tcPr>
          <w:p>
            <w:pPr>
              <w:keepNext w:val="0"/>
              <w:spacing w:line="252" w:lineRule="auto" w:after="40" w:before="40"/>
            </w:pPr>
            <w:r>
              <w:rPr>
                <w:rFonts w:ascii="Times New Roman" w:hAnsi="Times New Roman"/>
                <w:b w:val="0"/>
                <w:sz w:val="18"/>
              </w:rPr>
              <w:t>Unconstrained age rule</w:t>
            </w:r>
          </w:p>
        </w:tc>
      </w:tr>
      <w:tr>
        <w:trPr>
          <w:cantSplit w:val="true"/>
        </w:trPr>
        <w:tc>
          <w:tcPr>
            <w:tcW w:type="dxa" w:w="4150"/>
            <w:vAlign w:val="top"/>
          </w:tcPr>
          <w:p>
            <w:pPr>
              <w:keepNext w:val="0"/>
              <w:spacing w:line="252" w:lineRule="auto" w:after="40" w:before="40"/>
            </w:pPr>
            <w:r>
              <w:rPr>
                <w:rFonts w:ascii="Times New Roman" w:hAnsi="Times New Roman"/>
                <w:b w:val="0"/>
                <w:sz w:val="18"/>
              </w:rPr>
              <w:t>Current placement</w:t>
            </w:r>
          </w:p>
        </w:tc>
        <w:tc>
          <w:tcPr>
            <w:tcW w:type="dxa" w:w="1700"/>
            <w:vAlign w:val="top"/>
          </w:tcPr>
          <w:p>
            <w:pPr>
              <w:keepNext w:val="0"/>
              <w:spacing w:line="252" w:lineRule="auto" w:after="40" w:before="40"/>
            </w:pPr>
            <w:r>
              <w:rPr>
                <w:rFonts w:ascii="Times New Roman" w:hAnsi="Times New Roman"/>
                <w:b w:val="0"/>
                <w:sz w:val="18"/>
              </w:rPr>
              <w:t>0.321772</w:t>
            </w:r>
          </w:p>
        </w:tc>
        <w:tc>
          <w:tcPr>
            <w:tcW w:type="dxa" w:w="1750"/>
            <w:vAlign w:val="top"/>
          </w:tcPr>
          <w:p>
            <w:pPr>
              <w:keepNext w:val="0"/>
              <w:spacing w:line="252" w:lineRule="auto" w:after="40" w:before="40"/>
            </w:pPr>
            <w:r>
              <w:rPr>
                <w:rFonts w:ascii="Times New Roman" w:hAnsi="Times New Roman"/>
                <w:b w:val="0"/>
                <w:sz w:val="18"/>
              </w:rPr>
              <w:t>50.73% lower</w:t>
            </w:r>
          </w:p>
        </w:tc>
        <w:tc>
          <w:tcPr>
            <w:tcW w:type="dxa" w:w="1750"/>
            <w:vAlign w:val="top"/>
          </w:tcPr>
          <w:p>
            <w:pPr>
              <w:keepNext w:val="0"/>
              <w:spacing w:line="252" w:lineRule="auto" w:after="40" w:before="40"/>
            </w:pPr>
            <w:r>
              <w:rPr>
                <w:rFonts w:ascii="Times New Roman" w:hAnsi="Times New Roman"/>
                <w:b w:val="0"/>
                <w:sz w:val="18"/>
              </w:rPr>
              <w:t>Synthetic fixture tier mix</w:t>
            </w:r>
          </w:p>
        </w:tc>
      </w:tr>
      <w:tr>
        <w:trPr>
          <w:cantSplit w:val="true"/>
        </w:trPr>
        <w:tc>
          <w:tcPr>
            <w:tcW w:type="dxa" w:w="4150"/>
            <w:vAlign w:val="top"/>
          </w:tcPr>
          <w:p>
            <w:pPr>
              <w:keepNext w:val="0"/>
              <w:spacing w:line="252" w:lineRule="auto" w:after="40" w:before="40"/>
            </w:pPr>
            <w:r>
              <w:rPr>
                <w:rFonts w:ascii="Times New Roman" w:hAnsi="Times New Roman"/>
                <w:b w:val="0"/>
                <w:sz w:val="18"/>
              </w:rPr>
              <w:t>Study policy</w:t>
            </w:r>
          </w:p>
        </w:tc>
        <w:tc>
          <w:tcPr>
            <w:tcW w:type="dxa" w:w="1700"/>
            <w:vAlign w:val="top"/>
          </w:tcPr>
          <w:p>
            <w:pPr>
              <w:keepNext w:val="0"/>
              <w:spacing w:line="252" w:lineRule="auto" w:after="40" w:before="40"/>
            </w:pPr>
            <w:r>
              <w:rPr>
                <w:rFonts w:ascii="Times New Roman" w:hAnsi="Times New Roman"/>
                <w:b w:val="0"/>
                <w:sz w:val="18"/>
              </w:rPr>
              <w:t>0.277186</w:t>
            </w:r>
          </w:p>
        </w:tc>
        <w:tc>
          <w:tcPr>
            <w:tcW w:type="dxa" w:w="1750"/>
            <w:vAlign w:val="top"/>
          </w:tcPr>
          <w:p>
            <w:pPr>
              <w:keepNext w:val="0"/>
              <w:spacing w:line="252" w:lineRule="auto" w:after="40" w:before="40"/>
            </w:pPr>
            <w:r>
              <w:rPr>
                <w:rFonts w:ascii="Times New Roman" w:hAnsi="Times New Roman"/>
                <w:b w:val="0"/>
                <w:sz w:val="18"/>
              </w:rPr>
              <w:t>57.56% lower</w:t>
            </w:r>
          </w:p>
        </w:tc>
        <w:tc>
          <w:tcPr>
            <w:tcW w:type="dxa" w:w="1750"/>
            <w:vAlign w:val="top"/>
          </w:tcPr>
          <w:p>
            <w:pPr>
              <w:keepNext w:val="0"/>
              <w:spacing w:line="252" w:lineRule="auto" w:after="40" w:before="40"/>
            </w:pPr>
            <w:r>
              <w:rPr>
                <w:rFonts w:ascii="Times New Roman" w:hAnsi="Times New Roman"/>
                <w:b w:val="0"/>
                <w:sz w:val="18"/>
              </w:rPr>
              <w:t>Explicit access constraints</w:t>
            </w:r>
          </w:p>
        </w:tc>
      </w:tr>
    </w:tbl>
    <w:p>
      <w:pPr>
        <w:jc w:val="both"/>
      </w:pPr>
      <w:r>
        <w:rPr>
          <w:rFonts w:ascii="Times New Roman" w:hAnsi="Times New Roman"/>
          <w:b w:val="0"/>
        </w:rPr>
        <w:t>The study-policy scenario is about 57.56% below the All Standard modeled total for this synthetic workload. This demonstrates arithmetic and policy behavior only. It does not estimate real hospital savings or compare against S3 Intelligent-Tiering. There is no measured v2 wrongly-archived rate because no real retrieval log or v2 retrieval label has been evaluated.</w:t>
      </w:r>
    </w:p>
    <w:p>
      <w:pPr>
        <w:pStyle w:val="Heading2"/>
      </w:pPr>
      <w:r>
        <w:rPr>
          <w:color w:val="000000"/>
        </w:rPr>
        <w:t>10 4 Results Summary</w:t>
      </w:r>
    </w:p>
    <w:p>
      <w:r>
        <w:rPr>
          <w:rFonts w:ascii="Times New Roman" w:hAnsi="Times New Roman"/>
        </w:rPr>
        <w:t>Table 13 separates delivered functional objectives from the external validation and cloud work still required.</w:t>
      </w:r>
    </w:p>
    <w:p>
      <w:pPr>
        <w:keepNext/>
        <w:spacing w:after="80"/>
      </w:pPr>
      <w:r>
        <w:rPr>
          <w:rFonts w:ascii="Times New Roman" w:hAnsi="Times New Roman"/>
          <w:b/>
          <w:sz w:val="21"/>
        </w:rPr>
        <w:t>Table 13. Objective status.</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0"/>
        <w:gridCol w:w="1900"/>
        <w:gridCol w:w="5050"/>
      </w:tblGrid>
      <w:tr>
        <w:trPr>
          <w:tblHeader w:val="true"/>
        </w:trPr>
        <w:tc>
          <w:tcPr>
            <w:tcW w:type="dxa" w:w="2400"/>
            <w:shd w:val="clear" w:color="auto" w:fill="D9EAF7"/>
            <w:vAlign w:val="center"/>
          </w:tcPr>
          <w:p>
            <w:pPr>
              <w:keepNext/>
              <w:spacing w:line="252" w:lineRule="auto" w:after="40" w:before="40"/>
            </w:pPr>
            <w:r>
              <w:rPr>
                <w:rFonts w:ascii="Times New Roman" w:hAnsi="Times New Roman"/>
                <w:b/>
                <w:sz w:val="18"/>
              </w:rPr>
              <w:t>Objective</w:t>
            </w:r>
          </w:p>
        </w:tc>
        <w:tc>
          <w:tcPr>
            <w:tcW w:type="dxa" w:w="1900"/>
            <w:shd w:val="clear" w:color="auto" w:fill="D9EAF7"/>
            <w:vAlign w:val="center"/>
          </w:tcPr>
          <w:p>
            <w:pPr>
              <w:keepNext/>
              <w:spacing w:line="252" w:lineRule="auto" w:after="40" w:before="40"/>
            </w:pPr>
            <w:r>
              <w:rPr>
                <w:rFonts w:ascii="Times New Roman" w:hAnsi="Times New Roman"/>
                <w:b/>
                <w:sz w:val="18"/>
              </w:rPr>
              <w:t>Status</w:t>
            </w:r>
          </w:p>
        </w:tc>
        <w:tc>
          <w:tcPr>
            <w:tcW w:type="dxa" w:w="5050"/>
            <w:shd w:val="clear" w:color="auto" w:fill="D9EAF7"/>
            <w:vAlign w:val="center"/>
          </w:tcPr>
          <w:p>
            <w:pPr>
              <w:keepNext/>
              <w:spacing w:line="252" w:lineRule="auto" w:after="40" w:before="40"/>
            </w:pPr>
            <w:r>
              <w:rPr>
                <w:rFonts w:ascii="Times New Roman" w:hAnsi="Times New Roman"/>
                <w:b/>
                <w:sz w:val="18"/>
              </w:rPr>
              <w:t>Evidence and boundary</w:t>
            </w:r>
          </w:p>
        </w:tc>
      </w:tr>
      <w:tr>
        <w:trPr>
          <w:cantSplit w:val="true"/>
        </w:trPr>
        <w:tc>
          <w:tcPr>
            <w:tcW w:type="dxa" w:w="2400"/>
            <w:vAlign w:val="top"/>
          </w:tcPr>
          <w:p>
            <w:pPr>
              <w:keepNext w:val="0"/>
              <w:spacing w:line="252" w:lineRule="auto" w:after="40" w:before="40"/>
            </w:pPr>
            <w:r>
              <w:rPr>
                <w:rFonts w:ascii="Times New Roman" w:hAnsi="Times New Roman"/>
                <w:b w:val="0"/>
                <w:sz w:val="18"/>
              </w:rPr>
              <w:t>1 Import and integrity</w:t>
            </w:r>
          </w:p>
        </w:tc>
        <w:tc>
          <w:tcPr>
            <w:tcW w:type="dxa" w:w="1900"/>
            <w:vAlign w:val="top"/>
          </w:tcPr>
          <w:p>
            <w:pPr>
              <w:keepNext w:val="0"/>
              <w:spacing w:line="252" w:lineRule="auto" w:after="40" w:before="40"/>
            </w:pPr>
            <w:r>
              <w:rPr>
                <w:rFonts w:ascii="Times New Roman" w:hAnsi="Times New Roman"/>
                <w:b w:val="0"/>
                <w:sz w:val="18"/>
              </w:rPr>
              <w:t>Met locally</w:t>
            </w:r>
          </w:p>
        </w:tc>
        <w:tc>
          <w:tcPr>
            <w:tcW w:type="dxa" w:w="5050"/>
            <w:vAlign w:val="top"/>
          </w:tcPr>
          <w:p>
            <w:pPr>
              <w:keepNext w:val="0"/>
              <w:spacing w:line="252" w:lineRule="auto" w:after="40" w:before="40"/>
            </w:pPr>
            <w:r>
              <w:rPr>
                <w:rFonts w:ascii="Times New Roman" w:hAnsi="Times New Roman"/>
                <w:b w:val="0"/>
                <w:sz w:val="18"/>
              </w:rPr>
              <w:t>Validated fixture imports, hashes and cleanup tests</w:t>
            </w:r>
          </w:p>
        </w:tc>
      </w:tr>
      <w:tr>
        <w:trPr>
          <w:cantSplit w:val="true"/>
        </w:trPr>
        <w:tc>
          <w:tcPr>
            <w:tcW w:type="dxa" w:w="2400"/>
            <w:vAlign w:val="top"/>
          </w:tcPr>
          <w:p>
            <w:pPr>
              <w:keepNext w:val="0"/>
              <w:spacing w:line="252" w:lineRule="auto" w:after="40" w:before="40"/>
            </w:pPr>
            <w:r>
              <w:rPr>
                <w:rFonts w:ascii="Times New Roman" w:hAnsi="Times New Roman"/>
                <w:b w:val="0"/>
                <w:sz w:val="18"/>
              </w:rPr>
              <w:t>2 Clinical and MRI inspection</w:t>
            </w:r>
          </w:p>
        </w:tc>
        <w:tc>
          <w:tcPr>
            <w:tcW w:type="dxa" w:w="1900"/>
            <w:vAlign w:val="top"/>
          </w:tcPr>
          <w:p>
            <w:pPr>
              <w:keepNext w:val="0"/>
              <w:spacing w:line="252" w:lineRule="auto" w:after="40" w:before="40"/>
            </w:pPr>
            <w:r>
              <w:rPr>
                <w:rFonts w:ascii="Times New Roman" w:hAnsi="Times New Roman"/>
                <w:b w:val="0"/>
                <w:sz w:val="18"/>
              </w:rPr>
              <w:t>Implemented; partial evaluation</w:t>
            </w:r>
          </w:p>
        </w:tc>
        <w:tc>
          <w:tcPr>
            <w:tcW w:type="dxa" w:w="5050"/>
            <w:vAlign w:val="top"/>
          </w:tcPr>
          <w:p>
            <w:pPr>
              <w:keepNext w:val="0"/>
              <w:spacing w:line="252" w:lineRule="auto" w:after="40" w:before="40"/>
            </w:pPr>
            <w:r>
              <w:rPr>
                <w:rFonts w:ascii="Times New Roman" w:hAnsi="Times New Roman"/>
                <w:b w:val="0"/>
                <w:sz w:val="18"/>
              </w:rPr>
              <w:t>Exact joins and real previews tested; synthetic adapter evidence; cohort accuracy pending</w:t>
            </w:r>
          </w:p>
        </w:tc>
      </w:tr>
      <w:tr>
        <w:trPr>
          <w:cantSplit w:val="true"/>
        </w:trPr>
        <w:tc>
          <w:tcPr>
            <w:tcW w:type="dxa" w:w="2400"/>
            <w:vAlign w:val="top"/>
          </w:tcPr>
          <w:p>
            <w:pPr>
              <w:keepNext w:val="0"/>
              <w:spacing w:line="252" w:lineRule="auto" w:after="40" w:before="40"/>
            </w:pPr>
            <w:r>
              <w:rPr>
                <w:rFonts w:ascii="Times New Roman" w:hAnsi="Times New Roman"/>
                <w:b w:val="0"/>
                <w:sz w:val="18"/>
              </w:rPr>
              <w:t>3 Transparent storage policy</w:t>
            </w:r>
          </w:p>
        </w:tc>
        <w:tc>
          <w:tcPr>
            <w:tcW w:type="dxa" w:w="1900"/>
            <w:vAlign w:val="top"/>
          </w:tcPr>
          <w:p>
            <w:pPr>
              <w:keepNext w:val="0"/>
              <w:spacing w:line="252" w:lineRule="auto" w:after="40" w:before="40"/>
            </w:pPr>
            <w:r>
              <w:rPr>
                <w:rFonts w:ascii="Times New Roman" w:hAnsi="Times New Roman"/>
                <w:b w:val="0"/>
                <w:sz w:val="18"/>
              </w:rPr>
              <w:t>Met locally</w:t>
            </w:r>
          </w:p>
        </w:tc>
        <w:tc>
          <w:tcPr>
            <w:tcW w:type="dxa" w:w="5050"/>
            <w:vAlign w:val="top"/>
          </w:tcPr>
          <w:p>
            <w:pPr>
              <w:keepNext w:val="0"/>
              <w:spacing w:line="252" w:lineRule="auto" w:after="40" w:before="40"/>
            </w:pPr>
            <w:r>
              <w:rPr>
                <w:rFonts w:ascii="Times New Roman" w:hAnsi="Times New Roman"/>
                <w:b w:val="0"/>
                <w:sz w:val="18"/>
              </w:rPr>
              <w:t>Eligibility rules and cost component tests</w:t>
            </w:r>
          </w:p>
        </w:tc>
      </w:tr>
      <w:tr>
        <w:trPr>
          <w:cantSplit w:val="true"/>
        </w:trPr>
        <w:tc>
          <w:tcPr>
            <w:tcW w:type="dxa" w:w="2400"/>
            <w:vAlign w:val="top"/>
          </w:tcPr>
          <w:p>
            <w:pPr>
              <w:keepNext w:val="0"/>
              <w:spacing w:line="252" w:lineRule="auto" w:after="40" w:before="40"/>
            </w:pPr>
            <w:r>
              <w:rPr>
                <w:rFonts w:ascii="Times New Roman" w:hAnsi="Times New Roman"/>
                <w:b w:val="0"/>
                <w:sz w:val="18"/>
              </w:rPr>
              <w:t>4 Reviewed study operations</w:t>
            </w:r>
          </w:p>
        </w:tc>
        <w:tc>
          <w:tcPr>
            <w:tcW w:type="dxa" w:w="1900"/>
            <w:vAlign w:val="top"/>
          </w:tcPr>
          <w:p>
            <w:pPr>
              <w:keepNext w:val="0"/>
              <w:spacing w:line="252" w:lineRule="auto" w:after="40" w:before="40"/>
            </w:pPr>
            <w:r>
              <w:rPr>
                <w:rFonts w:ascii="Times New Roman" w:hAnsi="Times New Roman"/>
                <w:b w:val="0"/>
                <w:sz w:val="18"/>
              </w:rPr>
              <w:t>Met as local simulation</w:t>
            </w:r>
          </w:p>
        </w:tc>
        <w:tc>
          <w:tcPr>
            <w:tcW w:type="dxa" w:w="5050"/>
            <w:vAlign w:val="top"/>
          </w:tcPr>
          <w:p>
            <w:pPr>
              <w:keepNext w:val="0"/>
              <w:spacing w:line="252" w:lineRule="auto" w:after="40" w:before="40"/>
            </w:pPr>
            <w:r>
              <w:rPr>
                <w:rFonts w:ascii="Times New Roman" w:hAnsi="Times New Roman"/>
                <w:b w:val="0"/>
                <w:sz w:val="18"/>
              </w:rPr>
              <w:t>Stale placement rejection and bundle restore tests</w:t>
            </w:r>
          </w:p>
        </w:tc>
      </w:tr>
      <w:tr>
        <w:trPr>
          <w:cantSplit w:val="true"/>
        </w:trPr>
        <w:tc>
          <w:tcPr>
            <w:tcW w:type="dxa" w:w="2400"/>
            <w:vAlign w:val="top"/>
          </w:tcPr>
          <w:p>
            <w:pPr>
              <w:keepNext w:val="0"/>
              <w:spacing w:line="252" w:lineRule="auto" w:after="40" w:before="40"/>
            </w:pPr>
            <w:r>
              <w:rPr>
                <w:rFonts w:ascii="Times New Roman" w:hAnsi="Times New Roman"/>
                <w:b w:val="0"/>
                <w:sz w:val="18"/>
              </w:rPr>
              <w:t>5 Cloud foundation</w:t>
            </w:r>
          </w:p>
        </w:tc>
        <w:tc>
          <w:tcPr>
            <w:tcW w:type="dxa" w:w="1900"/>
            <w:vAlign w:val="top"/>
          </w:tcPr>
          <w:p>
            <w:pPr>
              <w:keepNext w:val="0"/>
              <w:spacing w:line="252" w:lineRule="auto" w:after="40" w:before="40"/>
            </w:pPr>
            <w:r>
              <w:rPr>
                <w:rFonts w:ascii="Times New Roman" w:hAnsi="Times New Roman"/>
                <w:b w:val="0"/>
                <w:sz w:val="18"/>
              </w:rPr>
              <w:t>V1 implemented; v2 pending</w:t>
            </w:r>
          </w:p>
        </w:tc>
        <w:tc>
          <w:tcPr>
            <w:tcW w:type="dxa" w:w="5050"/>
            <w:vAlign w:val="top"/>
          </w:tcPr>
          <w:p>
            <w:pPr>
              <w:keepNext w:val="0"/>
              <w:spacing w:line="252" w:lineRule="auto" w:after="40" w:before="40"/>
            </w:pPr>
            <w:r>
              <w:rPr>
                <w:rFonts w:ascii="Times New Roman" w:hAnsi="Times New Roman"/>
                <w:b w:val="0"/>
                <w:sz w:val="18"/>
              </w:rPr>
              <w:t>Mocked handler tests and explicit HTTP 501 gate</w:t>
            </w:r>
          </w:p>
        </w:tc>
      </w:tr>
      <w:tr>
        <w:trPr>
          <w:cantSplit w:val="true"/>
        </w:trPr>
        <w:tc>
          <w:tcPr>
            <w:tcW w:type="dxa" w:w="2400"/>
            <w:vAlign w:val="top"/>
          </w:tcPr>
          <w:p>
            <w:pPr>
              <w:keepNext w:val="0"/>
              <w:spacing w:line="252" w:lineRule="auto" w:after="40" w:before="40"/>
            </w:pPr>
            <w:r>
              <w:rPr>
                <w:rFonts w:ascii="Times New Roman" w:hAnsi="Times New Roman"/>
                <w:b w:val="0"/>
                <w:sz w:val="18"/>
              </w:rPr>
              <w:t>6 Archive workspace</w:t>
            </w:r>
          </w:p>
        </w:tc>
        <w:tc>
          <w:tcPr>
            <w:tcW w:type="dxa" w:w="1900"/>
            <w:vAlign w:val="top"/>
          </w:tcPr>
          <w:p>
            <w:pPr>
              <w:keepNext w:val="0"/>
              <w:spacing w:line="252" w:lineRule="auto" w:after="40" w:before="40"/>
            </w:pPr>
            <w:r>
              <w:rPr>
                <w:rFonts w:ascii="Times New Roman" w:hAnsi="Times New Roman"/>
                <w:b w:val="0"/>
                <w:sz w:val="18"/>
              </w:rPr>
              <w:t>Met locally</w:t>
            </w:r>
          </w:p>
        </w:tc>
        <w:tc>
          <w:tcPr>
            <w:tcW w:type="dxa" w:w="5050"/>
            <w:vAlign w:val="top"/>
          </w:tcPr>
          <w:p>
            <w:pPr>
              <w:keepNext w:val="0"/>
              <w:spacing w:line="252" w:lineRule="auto" w:after="40" w:before="40"/>
            </w:pPr>
            <w:r>
              <w:rPr>
                <w:rFonts w:ascii="Times New Roman" w:hAnsi="Times New Roman"/>
                <w:b w:val="0"/>
                <w:sz w:val="18"/>
              </w:rPr>
              <w:t>Production build and prior responsive/browser record</w:t>
            </w:r>
          </w:p>
        </w:tc>
      </w:tr>
    </w:tbl>
    <w:p>
      <w:pPr>
        <w:pStyle w:val="Heading1"/>
      </w:pPr>
      <w:r>
        <w:rPr>
          <w:color w:val="000000"/>
        </w:rPr>
        <w:t>11 Discussion Limitations and Risk Analysis</w:t>
      </w:r>
    </w:p>
    <w:p>
      <w:pPr>
        <w:pStyle w:val="Heading2"/>
      </w:pPr>
      <w:r>
        <w:rPr>
          <w:color w:val="000000"/>
        </w:rPr>
        <w:t>11 1 Discussion</w:t>
      </w:r>
    </w:p>
    <w:p>
      <w:pPr>
        <w:jc w:val="both"/>
      </w:pPr>
      <w:r>
        <w:rPr>
          <w:rFonts w:ascii="Times New Roman" w:hAnsi="Times New Roman"/>
          <w:b w:val="0"/>
        </w:rPr>
        <w:t>The current archive improves inspectability by making sequence completeness, clinical linkage, access expectations and operation history explicit. The constraints prevent automatic cold recommendations for missing sequence sets, unresolved clinical linkage, active use, manual holds and unfinished or failed analyses. These checks implement product rules; they do not prove clinical safety. Segmentation provides a research view and provenance, while workload accesses are declared independently. The earlier 72-record X-ray analysis and its policy calibration problem belong to v1 and are not used to validate v2. The retained fixed legacy coefficients remain uncalibrated.</w:t>
      </w:r>
    </w:p>
    <w:p>
      <w:pPr>
        <w:pStyle w:val="Heading2"/>
      </w:pPr>
      <w:r>
        <w:rPr>
          <w:color w:val="000000"/>
        </w:rPr>
        <w:t>11 2 Limitations</w:t>
      </w:r>
    </w:p>
    <w:p>
      <w:r>
        <w:rPr>
          <w:rFonts w:ascii="Times New Roman" w:hAnsi="Times New Roman"/>
        </w:rPr>
        <w:t>Technical, data and evaluation limitations are listed below.</w:t>
      </w:r>
    </w:p>
    <w:p>
      <w:pPr>
        <w:pStyle w:val="ListBullet"/>
      </w:pPr>
      <w:r>
        <w:rPr>
          <w:rFonts w:ascii="Times New Roman" w:hAnsi="Times New Roman"/>
          <w:b w:val="0"/>
        </w:rPr>
        <w:t>Data and linkage. No real TCIA/BraTS cohort was downloaded for this milestone. Exact CSV matching checks supplied identifiers; source declarations and crosswalk quality still determine whether a clinical association is correct.</w:t>
      </w:r>
    </w:p>
    <w:p>
      <w:pPr>
        <w:pStyle w:val="ListBullet"/>
      </w:pPr>
      <w:r>
        <w:rPr>
          <w:rFonts w:ascii="Times New Roman" w:hAnsi="Times New Roman"/>
          <w:b w:val="0"/>
        </w:rPr>
        <w:t>MRI prerequisites and validity. Raw DICOM is not converted or registered automatically. The adapter expects preprocessed aligned, brain-extracted 1 mm NIfTI inputs. Synthetic compatibility evidence does not establish Dice, HD95, diagnostic utility or generalization.</w:t>
      </w:r>
    </w:p>
    <w:p>
      <w:pPr>
        <w:pStyle w:val="ListBullet"/>
      </w:pPr>
      <w:r>
        <w:rPr>
          <w:rFonts w:ascii="Times New Roman" w:hAnsi="Times New Roman"/>
          <w:b w:val="0"/>
        </w:rPr>
        <w:t>Model reproducibility. Bundle release 0.5.4 is pinned to revision 04689f51062d1ec889c8af2e78fc0369c6fda36d. The checkpoint SHA-256 is 860ccb3f1c21c99d0410ad8a1ac4ef6b8fab60cec0a503b0ba42675741a750ae. Runtime versions are recorded; independent cohort accuracy and overlap audits remain pending.</w:t>
      </w:r>
    </w:p>
    <w:p>
      <w:pPr>
        <w:pStyle w:val="ListBullet"/>
      </w:pPr>
      <w:r>
        <w:rPr>
          <w:rFonts w:ascii="Times New Roman" w:hAnsi="Times New Roman"/>
          <w:b w:val="0"/>
        </w:rPr>
        <w:t>Cloud boundary. V2 bundle placement and restore are local simulations. V2 archive calls return HTTP 501 in DynamoDB mode. Member-level pending, mixed and failure states and actual AWS reconciliation are unfinished.</w:t>
      </w:r>
    </w:p>
    <w:p>
      <w:pPr>
        <w:pStyle w:val="ListBullet"/>
      </w:pPr>
      <w:r>
        <w:rPr>
          <w:rFonts w:ascii="Times New Roman" w:hAnsi="Times New Roman"/>
          <w:b w:val="0"/>
        </w:rPr>
        <w:t>Governance and security. Local demonstration authentication is not production access control. Imported raw files are retained locally and are not automatically de-identified. Production use requires consent/license review, role enforcement, lifecycle governance and suitable monitoring.</w:t>
      </w:r>
    </w:p>
    <w:p>
      <w:pPr>
        <w:pStyle w:val="ListBullet"/>
      </w:pPr>
      <w:r>
        <w:rPr>
          <w:rFonts w:ascii="Times New Roman" w:hAnsi="Times New Roman"/>
          <w:b w:val="0"/>
        </w:rPr>
        <w:t>Scale and cost. The local inventory is returned in one response and the analysis worker is a local background thread. Production pagination, indexing and robust queues are future work. Costs omit prior-tier exit charges, egress, compute, hot previews and other services.</w:t>
      </w:r>
    </w:p>
    <w:p>
      <w:pPr>
        <w:pStyle w:val="ListBullet"/>
      </w:pPr>
      <w:r>
        <w:rPr>
          <w:rFonts w:ascii="Times New Roman" w:hAnsi="Times New Roman"/>
          <w:b w:val="0"/>
        </w:rPr>
        <w:t>Evidence scope. The browser and responsive record dated 11 October covers widths 1440, 1024, 768, 499 and 390 pixels. Current verification reruns tests and build and captures desktop overview, explorer, workbench and costs. A full responsive or clinical evaluation was not repeated.</w:t>
      </w:r>
    </w:p>
    <w:p>
      <w:pPr>
        <w:pStyle w:val="Heading2"/>
      </w:pPr>
      <w:r>
        <w:rPr>
          <w:color w:val="000000"/>
        </w:rPr>
        <w:t>11 3 Risks and Mitigation</w:t>
      </w:r>
    </w:p>
    <w:p>
      <w:pPr>
        <w:keepNext/>
        <w:spacing w:after="80"/>
      </w:pPr>
      <w:r>
        <w:rPr>
          <w:rFonts w:ascii="Times New Roman" w:hAnsi="Times New Roman"/>
          <w:b/>
          <w:sz w:val="21"/>
        </w:rPr>
        <w:t>Table 14. Risks and mitigation.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rPr>
        <w:tc>
          <w:tcPr>
            <w:tcW w:type="dxa" w:w="2340"/>
            <w:vAlign w:val="center"/>
            <w:shd w:fill="D9EAF7"/>
          </w:tcPr>
          <w:p>
            <w:pPr>
              <w:keepNext/>
              <w:spacing w:line="252" w:lineRule="auto" w:before="40" w:after="40"/>
            </w:pPr>
            <w:r>
              <w:rPr>
                <w:b/>
                <w:sz w:val="18"/>
              </w:rPr>
              <w:t>Risk</w:t>
            </w:r>
          </w:p>
        </w:tc>
        <w:tc>
          <w:tcPr>
            <w:tcW w:type="dxa" w:w="2340"/>
            <w:vAlign w:val="center"/>
            <w:shd w:fill="D9EAF7"/>
          </w:tcPr>
          <w:p>
            <w:pPr>
              <w:keepNext/>
              <w:spacing w:line="252" w:lineRule="auto" w:before="40" w:after="40"/>
            </w:pPr>
            <w:r>
              <w:rPr>
                <w:b/>
                <w:sz w:val="18"/>
              </w:rPr>
              <w:t>Impact</w:t>
            </w:r>
          </w:p>
        </w:tc>
        <w:tc>
          <w:tcPr>
            <w:tcW w:type="dxa" w:w="2340"/>
            <w:vAlign w:val="center"/>
            <w:shd w:fill="D9EAF7"/>
          </w:tcPr>
          <w:p>
            <w:pPr>
              <w:keepNext/>
              <w:spacing w:line="252" w:lineRule="auto" w:before="40" w:after="40"/>
            </w:pPr>
            <w:r>
              <w:rPr>
                <w:b/>
                <w:sz w:val="18"/>
              </w:rPr>
              <w:t>Implemented mitigation or boundary</w:t>
            </w:r>
          </w:p>
        </w:tc>
        <w:tc>
          <w:tcPr>
            <w:tcW w:type="dxa" w:w="2340"/>
            <w:vAlign w:val="center"/>
            <w:shd w:fill="D9EAF7"/>
          </w:tcPr>
          <w:p>
            <w:pPr>
              <w:keepNext/>
              <w:spacing w:line="252" w:lineRule="auto" w:before="40" w:after="40"/>
            </w:pPr>
            <w:r>
              <w:rPr>
                <w:b/>
                <w:sz w:val="18"/>
              </w:rPr>
              <w:t>Remaining work</w:t>
            </w:r>
          </w:p>
        </w:tc>
      </w:tr>
      <w:tr>
        <w:trPr>
          <w:cantSplit w:val="true"/>
        </w:trPr>
        <w:tc>
          <w:tcPr>
            <w:tcW w:type="dxa" w:w="2340"/>
            <w:vAlign w:val="top"/>
          </w:tcPr>
          <w:p>
            <w:pPr>
              <w:keepNext w:val="0"/>
              <w:spacing w:line="252" w:lineRule="auto" w:after="40" w:before="40"/>
            </w:pPr>
            <w:r>
              <w:rPr>
                <w:rFonts w:ascii="Times New Roman" w:hAnsi="Times New Roman"/>
                <w:b w:val="0"/>
                <w:sz w:val="18"/>
              </w:rPr>
              <w:t>Incorrect subject association</w:t>
            </w:r>
          </w:p>
        </w:tc>
        <w:tc>
          <w:tcPr>
            <w:tcW w:type="dxa" w:w="2340"/>
            <w:vAlign w:val="top"/>
          </w:tcPr>
          <w:p>
            <w:pPr>
              <w:keepNext w:val="0"/>
              <w:spacing w:line="252" w:lineRule="auto" w:after="40" w:before="40"/>
            </w:pPr>
            <w:r>
              <w:rPr>
                <w:rFonts w:ascii="Times New Roman" w:hAnsi="Times New Roman"/>
                <w:b w:val="0"/>
                <w:sz w:val="18"/>
              </w:rPr>
              <w:t>High</w:t>
            </w:r>
          </w:p>
        </w:tc>
        <w:tc>
          <w:tcPr>
            <w:tcW w:type="dxa" w:w="2340"/>
            <w:vAlign w:val="top"/>
          </w:tcPr>
          <w:p>
            <w:pPr>
              <w:keepNext w:val="0"/>
              <w:spacing w:line="252" w:lineRule="auto" w:after="40" w:before="40"/>
            </w:pPr>
            <w:r>
              <w:rPr>
                <w:rFonts w:ascii="Times New Roman" w:hAnsi="Times New Roman"/>
                <w:b w:val="0"/>
                <w:sz w:val="18"/>
              </w:rPr>
              <w:t>Exact CSV matches; ambiguous states; DICOM identity checks</w:t>
            </w:r>
          </w:p>
        </w:tc>
        <w:tc>
          <w:tcPr>
            <w:tcW w:type="dxa" w:w="2340"/>
            <w:vAlign w:val="top"/>
          </w:tcPr>
          <w:p>
            <w:pPr>
              <w:keepNext w:val="0"/>
              <w:spacing w:line="252" w:lineRule="auto" w:after="40" w:before="40"/>
            </w:pPr>
            <w:r>
              <w:rPr>
                <w:rFonts w:ascii="Times New Roman" w:hAnsi="Times New Roman"/>
                <w:b w:val="0"/>
                <w:sz w:val="18"/>
              </w:rPr>
              <w:t>Verify source crosswalks and permissions</w:t>
            </w:r>
          </w:p>
        </w:tc>
      </w:tr>
      <w:tr>
        <w:trPr>
          <w:cantSplit w:val="true"/>
        </w:trPr>
        <w:tc>
          <w:tcPr>
            <w:tcW w:type="dxa" w:w="2340"/>
            <w:vAlign w:val="top"/>
          </w:tcPr>
          <w:p>
            <w:pPr>
              <w:keepNext w:val="0"/>
              <w:spacing w:line="252" w:lineRule="auto" w:after="40" w:before="40"/>
            </w:pPr>
            <w:r>
              <w:rPr>
                <w:rFonts w:ascii="Times New Roman" w:hAnsi="Times New Roman"/>
                <w:b w:val="0"/>
                <w:sz w:val="18"/>
              </w:rPr>
              <w:t>Unusable incomplete bundle</w:t>
            </w:r>
          </w:p>
        </w:tc>
        <w:tc>
          <w:tcPr>
            <w:tcW w:type="dxa" w:w="2340"/>
            <w:vAlign w:val="top"/>
          </w:tcPr>
          <w:p>
            <w:pPr>
              <w:keepNext w:val="0"/>
              <w:spacing w:line="252" w:lineRule="auto" w:after="40" w:before="40"/>
            </w:pPr>
            <w:r>
              <w:rPr>
                <w:rFonts w:ascii="Times New Roman" w:hAnsi="Times New Roman"/>
                <w:b w:val="0"/>
                <w:sz w:val="18"/>
              </w:rPr>
              <w:t>High</w:t>
            </w:r>
          </w:p>
        </w:tc>
        <w:tc>
          <w:tcPr>
            <w:tcW w:type="dxa" w:w="2340"/>
            <w:vAlign w:val="top"/>
          </w:tcPr>
          <w:p>
            <w:pPr>
              <w:keepNext w:val="0"/>
              <w:spacing w:line="252" w:lineRule="auto" w:after="40" w:before="40"/>
            </w:pPr>
            <w:r>
              <w:rPr>
                <w:rFonts w:ascii="Times New Roman" w:hAnsi="Times New Roman"/>
                <w:b w:val="0"/>
                <w:sz w:val="18"/>
              </w:rPr>
              <w:t>Completeness and clinical guards; complete local operations</w:t>
            </w:r>
          </w:p>
        </w:tc>
        <w:tc>
          <w:tcPr>
            <w:tcW w:type="dxa" w:w="2340"/>
            <w:vAlign w:val="top"/>
          </w:tcPr>
          <w:p>
            <w:pPr>
              <w:keepNext w:val="0"/>
              <w:spacing w:line="252" w:lineRule="auto" w:after="40" w:before="40"/>
            </w:pPr>
            <w:r>
              <w:rPr>
                <w:rFonts w:ascii="Times New Roman" w:hAnsi="Times New Roman"/>
                <w:b w:val="0"/>
                <w:sz w:val="18"/>
              </w:rPr>
              <w:t>Cloud member-level reconciliation</w:t>
            </w:r>
          </w:p>
        </w:tc>
      </w:tr>
      <w:tr>
        <w:trPr>
          <w:cantSplit w:val="true"/>
        </w:trPr>
        <w:tc>
          <w:tcPr>
            <w:tcW w:type="dxa" w:w="2340"/>
            <w:vAlign w:val="top"/>
          </w:tcPr>
          <w:p>
            <w:pPr>
              <w:keepNext w:val="0"/>
              <w:spacing w:line="252" w:lineRule="auto" w:after="40" w:before="40"/>
            </w:pPr>
            <w:r>
              <w:rPr>
                <w:rFonts w:ascii="Times New Roman" w:hAnsi="Times New Roman"/>
                <w:b w:val="0"/>
                <w:sz w:val="18"/>
              </w:rPr>
              <w:t>Model misuse or invalid inputs</w:t>
            </w:r>
          </w:p>
        </w:tc>
        <w:tc>
          <w:tcPr>
            <w:tcW w:type="dxa" w:w="2340"/>
            <w:vAlign w:val="top"/>
          </w:tcPr>
          <w:p>
            <w:pPr>
              <w:keepNext w:val="0"/>
              <w:spacing w:line="252" w:lineRule="auto" w:after="40" w:before="40"/>
            </w:pPr>
            <w:r>
              <w:rPr>
                <w:rFonts w:ascii="Times New Roman" w:hAnsi="Times New Roman"/>
                <w:b w:val="0"/>
                <w:sz w:val="18"/>
              </w:rPr>
              <w:t>High</w:t>
            </w:r>
          </w:p>
        </w:tc>
        <w:tc>
          <w:tcPr>
            <w:tcW w:type="dxa" w:w="2340"/>
            <w:vAlign w:val="top"/>
          </w:tcPr>
          <w:p>
            <w:pPr>
              <w:keepNext w:val="0"/>
              <w:spacing w:line="252" w:lineRule="auto" w:after="40" w:before="40"/>
            </w:pPr>
            <w:r>
              <w:rPr>
                <w:rFonts w:ascii="Times New Roman" w:hAnsi="Times New Roman"/>
                <w:b w:val="0"/>
                <w:sz w:val="18"/>
              </w:rPr>
              <w:t>Preprocessing attestation, geometry/intensity checks, research labels</w:t>
            </w:r>
          </w:p>
        </w:tc>
        <w:tc>
          <w:tcPr>
            <w:tcW w:type="dxa" w:w="2340"/>
            <w:vAlign w:val="top"/>
          </w:tcPr>
          <w:p>
            <w:pPr>
              <w:keepNext w:val="0"/>
              <w:spacing w:line="252" w:lineRule="auto" w:after="40" w:before="40"/>
            </w:pPr>
            <w:r>
              <w:rPr>
                <w:rFonts w:ascii="Times New Roman" w:hAnsi="Times New Roman"/>
                <w:b w:val="0"/>
                <w:sz w:val="18"/>
              </w:rPr>
              <w:t>Independent accuracy and preprocessing audit</w:t>
            </w:r>
          </w:p>
        </w:tc>
      </w:tr>
      <w:tr>
        <w:trPr>
          <w:cantSplit w:val="true"/>
        </w:trPr>
        <w:tc>
          <w:tcPr>
            <w:tcW w:type="dxa" w:w="2340"/>
            <w:vAlign w:val="top"/>
          </w:tcPr>
          <w:p>
            <w:pPr>
              <w:keepNext w:val="0"/>
              <w:spacing w:line="252" w:lineRule="auto" w:after="40" w:before="40"/>
            </w:pPr>
            <w:r>
              <w:rPr>
                <w:rFonts w:ascii="Times New Roman" w:hAnsi="Times New Roman"/>
                <w:b w:val="0"/>
                <w:sz w:val="18"/>
              </w:rPr>
              <w:t>Misleading cost claims</w:t>
            </w:r>
          </w:p>
        </w:tc>
        <w:tc>
          <w:tcPr>
            <w:tcW w:type="dxa" w:w="2340"/>
            <w:vAlign w:val="top"/>
          </w:tcPr>
          <w:p>
            <w:pPr>
              <w:keepNext w:val="0"/>
              <w:spacing w:line="252" w:lineRule="auto" w:after="40" w:before="40"/>
            </w:pPr>
            <w:r>
              <w:rPr>
                <w:rFonts w:ascii="Times New Roman" w:hAnsi="Times New Roman"/>
                <w:b w:val="0"/>
                <w:sz w:val="18"/>
              </w:rPr>
              <w:t>Medium</w:t>
            </w:r>
          </w:p>
        </w:tc>
        <w:tc>
          <w:tcPr>
            <w:tcW w:type="dxa" w:w="2340"/>
            <w:vAlign w:val="top"/>
          </w:tcPr>
          <w:p>
            <w:pPr>
              <w:keepNext w:val="0"/>
              <w:spacing w:line="252" w:lineRule="auto" w:after="40" w:before="40"/>
            </w:pPr>
            <w:r>
              <w:rPr>
                <w:rFonts w:ascii="Times New Roman" w:hAnsi="Times New Roman"/>
                <w:b w:val="0"/>
                <w:sz w:val="18"/>
              </w:rPr>
              <w:t>Declared workload, component breakdown and exclusions</w:t>
            </w:r>
          </w:p>
        </w:tc>
        <w:tc>
          <w:tcPr>
            <w:tcW w:type="dxa" w:w="2340"/>
            <w:vAlign w:val="top"/>
          </w:tcPr>
          <w:p>
            <w:pPr>
              <w:keepNext w:val="0"/>
              <w:spacing w:line="252" w:lineRule="auto" w:after="40" w:before="40"/>
            </w:pPr>
            <w:r>
              <w:rPr>
                <w:rFonts w:ascii="Times New Roman" w:hAnsi="Times New Roman"/>
                <w:b w:val="0"/>
                <w:sz w:val="18"/>
              </w:rPr>
              <w:t>Realistic workload and full cloud bill evaluation</w:t>
            </w:r>
          </w:p>
        </w:tc>
      </w:tr>
      <w:tr>
        <w:trPr>
          <w:cantSplit w:val="true"/>
        </w:trPr>
        <w:tc>
          <w:tcPr>
            <w:tcW w:type="dxa" w:w="2340"/>
            <w:vAlign w:val="top"/>
          </w:tcPr>
          <w:p>
            <w:pPr>
              <w:keepNext w:val="0"/>
              <w:spacing w:line="252" w:lineRule="auto" w:after="40" w:before="40"/>
            </w:pPr>
            <w:r>
              <w:rPr>
                <w:rFonts w:ascii="Times New Roman" w:hAnsi="Times New Roman"/>
                <w:b w:val="0"/>
                <w:sz w:val="18"/>
              </w:rPr>
              <w:t>Concurrent or interrupted operations</w:t>
            </w:r>
          </w:p>
        </w:tc>
        <w:tc>
          <w:tcPr>
            <w:tcW w:type="dxa" w:w="2340"/>
            <w:vAlign w:val="top"/>
          </w:tcPr>
          <w:p>
            <w:pPr>
              <w:keepNext w:val="0"/>
              <w:spacing w:line="252" w:lineRule="auto" w:after="40" w:before="40"/>
            </w:pPr>
            <w:r>
              <w:rPr>
                <w:rFonts w:ascii="Times New Roman" w:hAnsi="Times New Roman"/>
                <w:b w:val="0"/>
                <w:sz w:val="18"/>
              </w:rPr>
              <w:t>Medium</w:t>
            </w:r>
          </w:p>
        </w:tc>
        <w:tc>
          <w:tcPr>
            <w:tcW w:type="dxa" w:w="2340"/>
            <w:vAlign w:val="top"/>
          </w:tcPr>
          <w:p>
            <w:pPr>
              <w:keepNext w:val="0"/>
              <w:spacing w:line="252" w:lineRule="auto" w:after="40" w:before="40"/>
            </w:pPr>
            <w:r>
              <w:rPr>
                <w:rFonts w:ascii="Times New Roman" w:hAnsi="Times New Roman"/>
                <w:b w:val="0"/>
                <w:sz w:val="18"/>
              </w:rPr>
              <w:t>Version checks, atomic worker merge, startup recovery</w:t>
            </w:r>
          </w:p>
        </w:tc>
        <w:tc>
          <w:tcPr>
            <w:tcW w:type="dxa" w:w="2340"/>
            <w:vAlign w:val="top"/>
          </w:tcPr>
          <w:p>
            <w:pPr>
              <w:keepNext w:val="0"/>
              <w:spacing w:line="252" w:lineRule="auto" w:after="40" w:before="40"/>
            </w:pPr>
            <w:r>
              <w:rPr>
                <w:rFonts w:ascii="Times New Roman" w:hAnsi="Times New Roman"/>
                <w:b w:val="0"/>
                <w:sz w:val="18"/>
              </w:rPr>
              <w:t>Durable workers and production queues</w:t>
            </w:r>
          </w:p>
        </w:tc>
      </w:tr>
      <w:tr>
        <w:trPr>
          <w:cantSplit w:val="true"/>
        </w:trPr>
        <w:tc>
          <w:tcPr>
            <w:tcW w:type="dxa" w:w="2340"/>
            <w:vAlign w:val="top"/>
          </w:tcPr>
          <w:p>
            <w:pPr>
              <w:keepNext w:val="0"/>
              <w:spacing w:line="252" w:lineRule="auto" w:after="40" w:before="40"/>
            </w:pPr>
            <w:r>
              <w:rPr>
                <w:rFonts w:ascii="Times New Roman" w:hAnsi="Times New Roman"/>
                <w:b w:val="0"/>
                <w:sz w:val="18"/>
              </w:rPr>
              <w:t>Unauthorized raw-data access</w:t>
            </w:r>
          </w:p>
        </w:tc>
        <w:tc>
          <w:tcPr>
            <w:tcW w:type="dxa" w:w="2340"/>
            <w:vAlign w:val="top"/>
          </w:tcPr>
          <w:p>
            <w:pPr>
              <w:keepNext w:val="0"/>
              <w:spacing w:line="252" w:lineRule="auto" w:after="40" w:before="40"/>
            </w:pPr>
            <w:r>
              <w:rPr>
                <w:rFonts w:ascii="Times New Roman" w:hAnsi="Times New Roman"/>
                <w:b w:val="0"/>
                <w:sz w:val="18"/>
              </w:rPr>
              <w:t>High</w:t>
            </w:r>
          </w:p>
        </w:tc>
        <w:tc>
          <w:tcPr>
            <w:tcW w:type="dxa" w:w="2340"/>
            <w:vAlign w:val="top"/>
          </w:tcPr>
          <w:p>
            <w:pPr>
              <w:keepNext w:val="0"/>
              <w:spacing w:line="252" w:lineRule="auto" w:after="40" w:before="40"/>
            </w:pPr>
            <w:r>
              <w:rPr>
                <w:rFonts w:ascii="Times New Roman" w:hAnsi="Times New Roman"/>
                <w:b w:val="0"/>
                <w:sz w:val="18"/>
              </w:rPr>
              <w:t>Local-only prototype and allowlisted clinical display</w:t>
            </w:r>
          </w:p>
        </w:tc>
        <w:tc>
          <w:tcPr>
            <w:tcW w:type="dxa" w:w="2340"/>
            <w:vAlign w:val="top"/>
          </w:tcPr>
          <w:p>
            <w:pPr>
              <w:keepNext w:val="0"/>
              <w:spacing w:line="252" w:lineRule="auto" w:after="40" w:before="40"/>
            </w:pPr>
            <w:r>
              <w:rPr>
                <w:rFonts w:ascii="Times New Roman" w:hAnsi="Times New Roman"/>
                <w:b w:val="0"/>
                <w:sz w:val="18"/>
              </w:rPr>
              <w:t>Production access control and governance</w:t>
            </w:r>
          </w:p>
        </w:tc>
      </w:tr>
    </w:tbl>
    <w:p/>
    <w:p>
      <w:pPr>
        <w:pStyle w:val="Heading1"/>
      </w:pPr>
      <w:r>
        <w:rPr>
          <w:color w:val="000000"/>
        </w:rPr>
        <w:t>12 Team Contribution and Version Control</w:t>
      </w:r>
    </w:p>
    <w:p>
      <w:r>
        <w:rPr>
          <w:rFonts w:ascii="Times New Roman" w:hAnsi="Times New Roman"/>
          <w:b w:val="0"/>
        </w:rPr>
        <w:t>Primary ownership follows the repository README: Pratyush Chandrasekhar owns frontend, testing and CloudFront; Subhrojyoti Das owns backend, database, authentication and infrastructure; Mehul Anand owns dataset, inference, S3 and metrics. Paper assignments are P1 to P5, P6 to P10 and P11 to P15 respectively for Pratyush, Subhrojyoti and Mehul. The student labels in Table 15 use the same README mapping.</w:t>
      </w:r>
    </w:p>
    <w:p>
      <w:pPr>
        <w:keepNext/>
        <w:spacing w:after="80"/>
      </w:pPr>
      <w:r>
        <w:rPr>
          <w:rFonts w:ascii="Times New Roman" w:hAnsi="Times New Roman"/>
          <w:b/>
          <w:sz w:val="21"/>
        </w:rPr>
        <w:t>Table 15. Team contribution.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rPr>
        <w:tc>
          <w:tcPr>
            <w:tcW w:type="dxa" w:w="2340"/>
            <w:vAlign w:val="center"/>
            <w:shd w:fill="D9EAF7"/>
          </w:tcPr>
          <w:p>
            <w:pPr>
              <w:keepNext/>
              <w:spacing w:line="252" w:lineRule="auto" w:before="40" w:after="40"/>
            </w:pPr>
            <w:r>
              <w:rPr>
                <w:b/>
                <w:sz w:val="18"/>
              </w:rPr>
              <w:t>Activity</w:t>
            </w:r>
          </w:p>
        </w:tc>
        <w:tc>
          <w:tcPr>
            <w:tcW w:type="dxa" w:w="2340"/>
            <w:vAlign w:val="center"/>
            <w:shd w:fill="D9EAF7" w:val="clear" w:color="auto"/>
          </w:tcPr>
          <w:p>
            <w:pPr>
              <w:keepNext/>
              <w:spacing w:line="252" w:lineRule="auto" w:after="40" w:before="40"/>
            </w:pPr>
            <w:r>
              <w:rPr>
                <w:rFonts w:ascii="Times New Roman" w:hAnsi="Times New Roman"/>
                <w:b/>
                <w:sz w:val="18"/>
              </w:rPr>
              <w:t>Pratyush Chandrasekhar 24BIT0226</w:t>
            </w:r>
          </w:p>
        </w:tc>
        <w:tc>
          <w:tcPr>
            <w:tcW w:type="dxa" w:w="2340"/>
            <w:vAlign w:val="center"/>
            <w:shd w:fill="D9EAF7" w:val="clear" w:color="auto"/>
          </w:tcPr>
          <w:p>
            <w:pPr>
              <w:keepNext/>
              <w:spacing w:line="252" w:lineRule="auto" w:after="40" w:before="40"/>
            </w:pPr>
            <w:r>
              <w:rPr>
                <w:rFonts w:ascii="Times New Roman" w:hAnsi="Times New Roman"/>
                <w:b/>
                <w:sz w:val="18"/>
              </w:rPr>
              <w:t>Subhrojyoti Das 24BIT0194</w:t>
            </w:r>
          </w:p>
        </w:tc>
        <w:tc>
          <w:tcPr>
            <w:tcW w:type="dxa" w:w="2340"/>
            <w:vAlign w:val="center"/>
            <w:shd w:fill="D9EAF7" w:val="clear" w:color="auto"/>
          </w:tcPr>
          <w:p>
            <w:pPr>
              <w:keepNext/>
              <w:spacing w:line="252" w:lineRule="auto" w:after="40" w:before="40"/>
            </w:pPr>
            <w:r>
              <w:rPr>
                <w:rFonts w:ascii="Times New Roman" w:hAnsi="Times New Roman"/>
                <w:b/>
                <w:sz w:val="18"/>
              </w:rPr>
              <w:t>Mehul Anand 24BIT0185</w:t>
            </w:r>
          </w:p>
        </w:tc>
      </w:tr>
      <w:tr>
        <w:trPr>
          <w:cantSplit w:val="true"/>
        </w:trPr>
        <w:tc>
          <w:tcPr>
            <w:tcW w:type="dxa" w:w="2340"/>
            <w:vAlign w:val="top"/>
          </w:tcPr>
          <w:p>
            <w:pPr>
              <w:keepNext w:val="0"/>
              <w:spacing w:line="252" w:lineRule="auto" w:after="40" w:before="40"/>
            </w:pPr>
            <w:r>
              <w:rPr>
                <w:rFonts w:ascii="Times New Roman" w:hAnsi="Times New Roman"/>
                <w:b w:val="0"/>
                <w:sz w:val="18"/>
              </w:rPr>
              <w:t>Literature</w:t>
            </w:r>
          </w:p>
        </w:tc>
        <w:tc>
          <w:tcPr>
            <w:tcW w:type="dxa" w:w="2340"/>
            <w:vAlign w:val="top"/>
          </w:tcPr>
          <w:p>
            <w:pPr>
              <w:keepNext w:val="0"/>
              <w:spacing w:line="252" w:lineRule="auto" w:after="40" w:before="40"/>
            </w:pPr>
            <w:r>
              <w:rPr>
                <w:rFonts w:ascii="Times New Roman" w:hAnsi="Times New Roman"/>
                <w:b w:val="0"/>
                <w:sz w:val="18"/>
              </w:rPr>
              <w:t>P1 to P5</w:t>
            </w:r>
          </w:p>
        </w:tc>
        <w:tc>
          <w:tcPr>
            <w:tcW w:type="dxa" w:w="2340"/>
            <w:vAlign w:val="top"/>
          </w:tcPr>
          <w:p>
            <w:pPr>
              <w:keepNext w:val="0"/>
              <w:spacing w:line="252" w:lineRule="auto" w:after="40" w:before="40"/>
            </w:pPr>
            <w:r>
              <w:rPr>
                <w:rFonts w:ascii="Times New Roman" w:hAnsi="Times New Roman"/>
                <w:b w:val="0"/>
                <w:sz w:val="18"/>
              </w:rPr>
              <w:t>P6 to P10</w:t>
            </w:r>
          </w:p>
        </w:tc>
        <w:tc>
          <w:tcPr>
            <w:tcW w:type="dxa" w:w="2340"/>
            <w:vAlign w:val="top"/>
          </w:tcPr>
          <w:p>
            <w:pPr>
              <w:keepNext w:val="0"/>
              <w:spacing w:line="252" w:lineRule="auto" w:after="40" w:before="40"/>
            </w:pPr>
            <w:r>
              <w:rPr>
                <w:rFonts w:ascii="Times New Roman" w:hAnsi="Times New Roman"/>
                <w:b w:val="0"/>
                <w:sz w:val="18"/>
              </w:rPr>
              <w:t>P11 to P15</w:t>
            </w:r>
          </w:p>
        </w:tc>
      </w:tr>
      <w:tr>
        <w:trPr>
          <w:cantSplit w:val="true"/>
        </w:trPr>
        <w:tc>
          <w:tcPr>
            <w:tcW w:type="dxa" w:w="2340"/>
            <w:vAlign w:val="top"/>
          </w:tcPr>
          <w:p>
            <w:pPr>
              <w:keepNext w:val="0"/>
              <w:spacing w:line="252" w:lineRule="auto" w:after="40" w:before="40"/>
            </w:pPr>
            <w:r>
              <w:rPr>
                <w:rFonts w:ascii="Times New Roman" w:hAnsi="Times New Roman"/>
                <w:b w:val="0"/>
                <w:sz w:val="18"/>
              </w:rPr>
              <w:t>Primary README ownership</w:t>
            </w:r>
          </w:p>
        </w:tc>
        <w:tc>
          <w:tcPr>
            <w:tcW w:type="dxa" w:w="2340"/>
            <w:vAlign w:val="top"/>
          </w:tcPr>
          <w:p>
            <w:pPr>
              <w:keepNext w:val="0"/>
              <w:spacing w:line="252" w:lineRule="auto" w:after="40" w:before="40"/>
            </w:pPr>
            <w:r>
              <w:rPr>
                <w:rFonts w:ascii="Times New Roman" w:hAnsi="Times New Roman"/>
                <w:b w:val="0"/>
                <w:sz w:val="18"/>
              </w:rPr>
              <w:t>Frontend testing CloudFront</w:t>
            </w:r>
          </w:p>
        </w:tc>
        <w:tc>
          <w:tcPr>
            <w:tcW w:type="dxa" w:w="2340"/>
            <w:vAlign w:val="top"/>
          </w:tcPr>
          <w:p>
            <w:pPr>
              <w:keepNext w:val="0"/>
              <w:spacing w:line="252" w:lineRule="auto" w:after="40" w:before="40"/>
            </w:pPr>
            <w:r>
              <w:rPr>
                <w:rFonts w:ascii="Times New Roman" w:hAnsi="Times New Roman"/>
                <w:b w:val="0"/>
                <w:sz w:val="18"/>
              </w:rPr>
              <w:t>Backend database auth infrastructure</w:t>
            </w:r>
          </w:p>
        </w:tc>
        <w:tc>
          <w:tcPr>
            <w:tcW w:type="dxa" w:w="2340"/>
            <w:vAlign w:val="top"/>
          </w:tcPr>
          <w:p>
            <w:pPr>
              <w:keepNext w:val="0"/>
              <w:spacing w:line="252" w:lineRule="auto" w:after="40" w:before="40"/>
            </w:pPr>
            <w:r>
              <w:rPr>
                <w:rFonts w:ascii="Times New Roman" w:hAnsi="Times New Roman"/>
                <w:b w:val="0"/>
                <w:sz w:val="18"/>
              </w:rPr>
              <w:t>Dataset inference S3 metrics</w:t>
            </w:r>
          </w:p>
        </w:tc>
      </w:tr>
      <w:tr>
        <w:trPr>
          <w:cantSplit w:val="true"/>
        </w:trPr>
        <w:tc>
          <w:tcPr>
            <w:tcW w:type="dxa" w:w="2340"/>
            <w:vAlign w:val="top"/>
          </w:tcPr>
          <w:p>
            <w:pPr>
              <w:keepNext w:val="0"/>
              <w:spacing w:line="252" w:lineRule="auto" w:after="40" w:before="40"/>
            </w:pPr>
            <w:r>
              <w:rPr>
                <w:rFonts w:ascii="Times New Roman" w:hAnsi="Times New Roman"/>
                <w:b w:val="0"/>
                <w:sz w:val="18"/>
              </w:rPr>
              <w:t>Interface work</w:t>
            </w:r>
          </w:p>
        </w:tc>
        <w:tc>
          <w:tcPr>
            <w:tcW w:type="dxa" w:w="2340"/>
            <w:vAlign w:val="top"/>
          </w:tcPr>
          <w:p>
            <w:pPr>
              <w:keepNext w:val="0"/>
              <w:spacing w:line="252" w:lineRule="auto" w:after="40" w:before="40"/>
            </w:pPr>
            <w:r>
              <w:rPr>
                <w:rFonts w:ascii="Times New Roman" w:hAnsi="Times New Roman"/>
                <w:b w:val="0"/>
                <w:sz w:val="18"/>
              </w:rPr>
              <w:t>Frontend ownership; UI history</w:t>
            </w:r>
          </w:p>
        </w:tc>
        <w:tc>
          <w:tcPr>
            <w:tcW w:type="dxa" w:w="2340"/>
            <w:vAlign w:val="top"/>
          </w:tcPr>
          <w:p>
            <w:pPr>
              <w:keepNext w:val="0"/>
              <w:spacing w:line="252" w:lineRule="auto" w:after="40" w:before="40"/>
            </w:pPr>
            <w:r>
              <w:rPr>
                <w:rFonts w:ascii="Times New Roman" w:hAnsi="Times New Roman"/>
                <w:b w:val="0"/>
                <w:sz w:val="18"/>
              </w:rPr>
              <w:t>API and current archive integration</w:t>
            </w:r>
          </w:p>
        </w:tc>
        <w:tc>
          <w:tcPr>
            <w:tcW w:type="dxa" w:w="2340"/>
            <w:vAlign w:val="top"/>
          </w:tcPr>
          <w:p>
            <w:pPr>
              <w:keepNext w:val="0"/>
              <w:spacing w:line="252" w:lineRule="auto" w:after="40" w:before="40"/>
            </w:pPr>
            <w:r>
              <w:rPr>
                <w:rFonts w:ascii="Times New Roman" w:hAnsi="Times New Roman"/>
                <w:b w:val="0"/>
                <w:sz w:val="18"/>
              </w:rPr>
              <w:t>Dataset/operator requirements</w:t>
            </w:r>
          </w:p>
        </w:tc>
      </w:tr>
      <w:tr>
        <w:trPr>
          <w:cantSplit w:val="true"/>
        </w:trPr>
        <w:tc>
          <w:tcPr>
            <w:tcW w:type="dxa" w:w="2340"/>
            <w:vAlign w:val="top"/>
          </w:tcPr>
          <w:p>
            <w:pPr>
              <w:keepNext w:val="0"/>
              <w:spacing w:line="252" w:lineRule="auto" w:after="40" w:before="40"/>
            </w:pPr>
            <w:r>
              <w:rPr>
                <w:rFonts w:ascii="Times New Roman" w:hAnsi="Times New Roman"/>
                <w:b w:val="0"/>
                <w:sz w:val="18"/>
              </w:rPr>
              <w:t>Backend and infrastructure</w:t>
            </w:r>
          </w:p>
        </w:tc>
        <w:tc>
          <w:tcPr>
            <w:tcW w:type="dxa" w:w="2340"/>
            <w:vAlign w:val="top"/>
          </w:tcPr>
          <w:p>
            <w:pPr>
              <w:keepNext w:val="0"/>
              <w:spacing w:line="252" w:lineRule="auto" w:after="40" w:before="40"/>
            </w:pPr>
            <w:r>
              <w:rPr>
                <w:rFonts w:ascii="Times New Roman" w:hAnsi="Times New Roman"/>
                <w:b w:val="0"/>
                <w:sz w:val="18"/>
              </w:rPr>
              <w:t>Frontend integration</w:t>
            </w:r>
          </w:p>
        </w:tc>
        <w:tc>
          <w:tcPr>
            <w:tcW w:type="dxa" w:w="2340"/>
            <w:vAlign w:val="top"/>
          </w:tcPr>
          <w:p>
            <w:pPr>
              <w:keepNext w:val="0"/>
              <w:spacing w:line="252" w:lineRule="auto" w:after="40" w:before="40"/>
            </w:pPr>
            <w:r>
              <w:rPr>
                <w:rFonts w:ascii="Times New Roman" w:hAnsi="Times New Roman"/>
                <w:b w:val="0"/>
                <w:sz w:val="18"/>
              </w:rPr>
              <w:t>Local/API persistence and infrastructure ownership</w:t>
            </w:r>
          </w:p>
        </w:tc>
        <w:tc>
          <w:tcPr>
            <w:tcW w:type="dxa" w:w="2340"/>
            <w:vAlign w:val="top"/>
          </w:tcPr>
          <w:p>
            <w:pPr>
              <w:keepNext w:val="0"/>
              <w:spacing w:line="252" w:lineRule="auto" w:after="40" w:before="40"/>
            </w:pPr>
            <w:r>
              <w:rPr>
                <w:rFonts w:ascii="Times New Roman" w:hAnsi="Times New Roman"/>
                <w:b w:val="0"/>
                <w:sz w:val="18"/>
              </w:rPr>
              <w:t>S3 and inference integration ownership</w:t>
            </w:r>
          </w:p>
        </w:tc>
      </w:tr>
      <w:tr>
        <w:trPr>
          <w:cantSplit w:val="true"/>
        </w:trPr>
        <w:tc>
          <w:tcPr>
            <w:tcW w:type="dxa" w:w="2340"/>
            <w:vAlign w:val="top"/>
          </w:tcPr>
          <w:p>
            <w:pPr>
              <w:keepNext w:val="0"/>
              <w:spacing w:line="252" w:lineRule="auto" w:after="40" w:before="40"/>
            </w:pPr>
            <w:r>
              <w:rPr>
                <w:rFonts w:ascii="Times New Roman" w:hAnsi="Times New Roman"/>
                <w:b w:val="0"/>
                <w:sz w:val="18"/>
              </w:rPr>
              <w:t>MRI and dataset</w:t>
            </w:r>
          </w:p>
        </w:tc>
        <w:tc>
          <w:tcPr>
            <w:tcW w:type="dxa" w:w="2340"/>
            <w:vAlign w:val="top"/>
          </w:tcPr>
          <w:p>
            <w:pPr>
              <w:keepNext w:val="0"/>
              <w:spacing w:line="252" w:lineRule="auto" w:after="40" w:before="40"/>
            </w:pPr>
            <w:r>
              <w:rPr>
                <w:rFonts w:ascii="Times New Roman" w:hAnsi="Times New Roman"/>
                <w:b w:val="0"/>
                <w:sz w:val="18"/>
              </w:rPr>
              <w:t>Inspection UI support</w:t>
            </w:r>
          </w:p>
        </w:tc>
        <w:tc>
          <w:tcPr>
            <w:tcW w:type="dxa" w:w="2340"/>
            <w:vAlign w:val="top"/>
          </w:tcPr>
          <w:p>
            <w:pPr>
              <w:keepNext w:val="0"/>
              <w:spacing w:line="252" w:lineRule="auto" w:after="40" w:before="40"/>
            </w:pPr>
            <w:r>
              <w:rPr>
                <w:rFonts w:ascii="Times New Roman" w:hAnsi="Times New Roman"/>
                <w:b w:val="0"/>
                <w:sz w:val="18"/>
              </w:rPr>
              <w:t>Adapter and archive integration in current implementation</w:t>
            </w:r>
          </w:p>
        </w:tc>
        <w:tc>
          <w:tcPr>
            <w:tcW w:type="dxa" w:w="2340"/>
            <w:vAlign w:val="top"/>
          </w:tcPr>
          <w:p>
            <w:pPr>
              <w:keepNext w:val="0"/>
              <w:spacing w:line="252" w:lineRule="auto" w:after="40" w:before="40"/>
            </w:pPr>
            <w:r>
              <w:rPr>
                <w:rFonts w:ascii="Times New Roman" w:hAnsi="Times New Roman"/>
                <w:b w:val="0"/>
                <w:sz w:val="18"/>
              </w:rPr>
              <w:t>Dataset and inference ownership</w:t>
            </w:r>
          </w:p>
        </w:tc>
      </w:tr>
      <w:tr>
        <w:trPr>
          <w:cantSplit w:val="true"/>
        </w:trPr>
        <w:tc>
          <w:tcPr>
            <w:tcW w:type="dxa" w:w="2340"/>
            <w:vAlign w:val="top"/>
          </w:tcPr>
          <w:p>
            <w:pPr>
              <w:keepNext w:val="0"/>
              <w:spacing w:line="252" w:lineRule="auto" w:after="40" w:before="40"/>
            </w:pPr>
            <w:r>
              <w:rPr>
                <w:rFonts w:ascii="Times New Roman" w:hAnsi="Times New Roman"/>
                <w:b w:val="0"/>
                <w:sz w:val="18"/>
              </w:rPr>
              <w:t>Testing and evidence</w:t>
            </w:r>
          </w:p>
        </w:tc>
        <w:tc>
          <w:tcPr>
            <w:tcW w:type="dxa" w:w="2340"/>
            <w:vAlign w:val="top"/>
          </w:tcPr>
          <w:p>
            <w:pPr>
              <w:keepNext w:val="0"/>
              <w:spacing w:line="252" w:lineRule="auto" w:after="40" w:before="40"/>
            </w:pPr>
            <w:r>
              <w:rPr>
                <w:rFonts w:ascii="Times New Roman" w:hAnsi="Times New Roman"/>
                <w:b w:val="0"/>
                <w:sz w:val="18"/>
              </w:rPr>
              <w:t>Frontend testing ownership</w:t>
            </w:r>
          </w:p>
        </w:tc>
        <w:tc>
          <w:tcPr>
            <w:tcW w:type="dxa" w:w="2340"/>
            <w:vAlign w:val="top"/>
          </w:tcPr>
          <w:p>
            <w:pPr>
              <w:keepNext w:val="0"/>
              <w:spacing w:line="252" w:lineRule="auto" w:after="40" w:before="40"/>
            </w:pPr>
            <w:r>
              <w:rPr>
                <w:rFonts w:ascii="Times New Roman" w:hAnsi="Times New Roman"/>
                <w:b w:val="0"/>
                <w:sz w:val="18"/>
              </w:rPr>
              <w:t>Regression/API integration</w:t>
            </w:r>
          </w:p>
        </w:tc>
        <w:tc>
          <w:tcPr>
            <w:tcW w:type="dxa" w:w="2340"/>
            <w:vAlign w:val="top"/>
          </w:tcPr>
          <w:p>
            <w:pPr>
              <w:keepNext w:val="0"/>
              <w:spacing w:line="252" w:lineRule="auto" w:after="40" w:before="40"/>
            </w:pPr>
            <w:r>
              <w:rPr>
                <w:rFonts w:ascii="Times New Roman" w:hAnsi="Times New Roman"/>
                <w:b w:val="0"/>
                <w:sz w:val="18"/>
              </w:rPr>
              <w:t>Metrics ownership</w:t>
            </w:r>
          </w:p>
        </w:tc>
      </w:tr>
      <w:tr>
        <w:trPr>
          <w:cantSplit w:val="true"/>
        </w:trPr>
        <w:tc>
          <w:tcPr>
            <w:tcW w:type="dxa" w:w="2340"/>
            <w:vAlign w:val="top"/>
          </w:tcPr>
          <w:p>
            <w:pPr>
              <w:keepNext w:val="0"/>
              <w:spacing w:line="252" w:lineRule="auto" w:after="40" w:before="40"/>
            </w:pPr>
            <w:r>
              <w:rPr>
                <w:rFonts w:ascii="Times New Roman" w:hAnsi="Times New Roman"/>
                <w:b w:val="0"/>
                <w:sz w:val="18"/>
              </w:rPr>
              <w:t>Documentation</w:t>
            </w:r>
          </w:p>
        </w:tc>
        <w:tc>
          <w:tcPr>
            <w:tcW w:type="dxa" w:w="2340"/>
            <w:vAlign w:val="top"/>
          </w:tcPr>
          <w:p>
            <w:pPr>
              <w:keepNext w:val="0"/>
              <w:spacing w:line="252" w:lineRule="auto" w:after="40" w:before="40"/>
            </w:pPr>
            <w:r>
              <w:rPr>
                <w:rFonts w:ascii="Times New Roman" w:hAnsi="Times New Roman"/>
                <w:b w:val="0"/>
                <w:sz w:val="18"/>
              </w:rPr>
              <w:t>Literature analysis and report</w:t>
            </w:r>
          </w:p>
        </w:tc>
        <w:tc>
          <w:tcPr>
            <w:tcW w:type="dxa" w:w="2340"/>
            <w:vAlign w:val="top"/>
          </w:tcPr>
          <w:p>
            <w:pPr>
              <w:keepNext w:val="0"/>
              <w:spacing w:line="252" w:lineRule="auto" w:after="40" w:before="40"/>
            </w:pPr>
            <w:r>
              <w:rPr>
                <w:rFonts w:ascii="Times New Roman" w:hAnsi="Times New Roman"/>
                <w:b w:val="0"/>
                <w:sz w:val="18"/>
              </w:rPr>
              <w:t>Architecture and implementation records</w:t>
            </w:r>
          </w:p>
        </w:tc>
        <w:tc>
          <w:tcPr>
            <w:tcW w:type="dxa" w:w="2340"/>
            <w:vAlign w:val="top"/>
          </w:tcPr>
          <w:p>
            <w:pPr>
              <w:keepNext w:val="0"/>
              <w:spacing w:line="252" w:lineRule="auto" w:after="40" w:before="40"/>
            </w:pPr>
            <w:r>
              <w:rPr>
                <w:rFonts w:ascii="Times New Roman" w:hAnsi="Times New Roman"/>
                <w:b w:val="0"/>
                <w:sz w:val="18"/>
              </w:rPr>
              <w:t>Literature analysis and report</w:t>
            </w:r>
          </w:p>
        </w:tc>
      </w:tr>
    </w:tbl>
    <w:p/>
    <w:p>
      <w:pPr>
        <w:pStyle w:val="Heading2"/>
      </w:pPr>
      <w:r>
        <w:rPr>
          <w:color w:val="000000"/>
        </w:rPr>
        <w:t>12 1 Branch and Pull Request Workflow</w:t>
      </w:r>
    </w:p>
    <w:p>
      <w:pPr>
        <w:jc w:val="both"/>
      </w:pPr>
      <w:r>
        <w:rPr>
          <w:rFonts w:ascii="Times New Roman" w:hAnsi="Times New Roman"/>
          <w:b w:val="0"/>
        </w:rPr>
        <w:t>The repository documents main, develop and feature branches for integration and review. Historical pull requests belong to the earlier implementation and are not evidence that the v2 changes were reviewed through new pull requests. The current local history records the v2 implementation and scope commits listed in Section 9. A release tag or cloud deployment is not asserted in this report.</w:t>
      </w:r>
    </w:p>
    <w:p>
      <w:pPr>
        <w:pStyle w:val="Heading2"/>
      </w:pPr>
      <w:r>
        <w:rPr>
          <w:color w:val="000000"/>
        </w:rPr>
        <w:t>12 2 Contribution Evidence</w:t>
      </w:r>
    </w:p>
    <w:p>
      <w:r>
        <w:rPr>
          <w:rFonts w:ascii="Times New Roman" w:hAnsi="Times New Roman"/>
        </w:rPr>
        <w:t>Table 16 records local Git history observed during finalization. Author counts reflect commit author strings, not a complete measure of individual work or independent proof of contribution ownership.</w:t>
      </w:r>
    </w:p>
    <w:p>
      <w:pPr>
        <w:keepNext/>
        <w:spacing w:after="80"/>
      </w:pPr>
      <w:r>
        <w:rPr>
          <w:rFonts w:ascii="Times New Roman" w:hAnsi="Times New Roman"/>
          <w:b/>
          <w:sz w:val="21"/>
        </w:rPr>
        <w:t>Table 16. GitHub contribution evidence.</w:t>
      </w:r>
    </w:p>
    <w:tbl>
      <w:tblPr>
        <w:tblStyle w:val="TableGrid"/>
        <w:tblW w:type="dxa" w:w="935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1650"/>
        <w:gridCol w:w="1700"/>
        <w:gridCol w:w="900"/>
        <w:gridCol w:w="3400"/>
      </w:tblGrid>
      <w:tr>
        <w:trPr>
          <w:tblHeader w:val="true"/>
        </w:trPr>
        <w:tc>
          <w:tcPr>
            <w:tcW w:type="dxa" w:w="1700"/>
            <w:shd w:val="clear" w:color="auto" w:fill="D9EAF7"/>
            <w:vAlign w:val="center"/>
          </w:tcPr>
          <w:p>
            <w:pPr>
              <w:keepNext/>
              <w:spacing w:line="252" w:lineRule="auto" w:after="40" w:before="40"/>
            </w:pPr>
            <w:r>
              <w:rPr>
                <w:rFonts w:ascii="Times New Roman" w:hAnsi="Times New Roman"/>
                <w:b/>
                <w:sz w:val="18"/>
              </w:rPr>
              <w:t>Member</w:t>
            </w:r>
          </w:p>
        </w:tc>
        <w:tc>
          <w:tcPr>
            <w:tcW w:type="dxa" w:w="1650"/>
            <w:shd w:val="clear" w:color="auto" w:fill="D9EAF7"/>
            <w:vAlign w:val="center"/>
          </w:tcPr>
          <w:p>
            <w:pPr>
              <w:keepNext/>
              <w:spacing w:line="252" w:lineRule="auto" w:after="40" w:before="40"/>
            </w:pPr>
            <w:r>
              <w:rPr>
                <w:rFonts w:ascii="Times New Roman" w:hAnsi="Times New Roman"/>
                <w:b/>
                <w:sz w:val="18"/>
              </w:rPr>
              <w:t>Local author evidence</w:t>
            </w:r>
          </w:p>
        </w:tc>
        <w:tc>
          <w:tcPr>
            <w:tcW w:type="dxa" w:w="1700"/>
            <w:shd w:val="clear" w:color="auto" w:fill="D9EAF7"/>
            <w:vAlign w:val="center"/>
          </w:tcPr>
          <w:p>
            <w:pPr>
              <w:keepNext/>
              <w:spacing w:line="252" w:lineRule="auto" w:after="40" w:before="40"/>
            </w:pPr>
            <w:r>
              <w:rPr>
                <w:rFonts w:ascii="Times New Roman" w:hAnsi="Times New Roman"/>
                <w:b/>
                <w:sz w:val="18"/>
              </w:rPr>
              <w:t>README branch</w:t>
            </w:r>
          </w:p>
        </w:tc>
        <w:tc>
          <w:tcPr>
            <w:tcW w:type="dxa" w:w="900"/>
            <w:shd w:val="clear" w:color="auto" w:fill="D9EAF7"/>
            <w:vAlign w:val="center"/>
          </w:tcPr>
          <w:p>
            <w:pPr>
              <w:keepNext/>
              <w:spacing w:line="252" w:lineRule="auto" w:after="40" w:before="40"/>
            </w:pPr>
            <w:r>
              <w:rPr>
                <w:rFonts w:ascii="Times New Roman" w:hAnsi="Times New Roman"/>
                <w:b/>
                <w:sz w:val="18"/>
              </w:rPr>
              <w:t>Count</w:t>
            </w:r>
          </w:p>
        </w:tc>
        <w:tc>
          <w:tcPr>
            <w:tcW w:type="dxa" w:w="3400"/>
            <w:shd w:val="clear" w:color="auto" w:fill="D9EAF7"/>
            <w:vAlign w:val="center"/>
          </w:tcPr>
          <w:p>
            <w:pPr>
              <w:keepNext/>
              <w:spacing w:line="252" w:lineRule="auto" w:after="40" w:before="40"/>
            </w:pPr>
            <w:r>
              <w:rPr>
                <w:rFonts w:ascii="Times New Roman" w:hAnsi="Times New Roman"/>
                <w:b/>
                <w:sz w:val="18"/>
              </w:rPr>
              <w:t>Attribution boundary</w:t>
            </w:r>
          </w:p>
        </w:tc>
      </w:tr>
      <w:tr>
        <w:trPr>
          <w:cantSplit w:val="true"/>
        </w:trPr>
        <w:tc>
          <w:tcPr>
            <w:tcW w:type="dxa" w:w="1700"/>
            <w:vAlign w:val="top"/>
          </w:tcPr>
          <w:p>
            <w:pPr>
              <w:keepNext w:val="0"/>
              <w:spacing w:line="252" w:lineRule="auto" w:after="40" w:before="40"/>
            </w:pPr>
            <w:r>
              <w:rPr>
                <w:rFonts w:ascii="Times New Roman" w:hAnsi="Times New Roman"/>
                <w:b w:val="0"/>
                <w:sz w:val="18"/>
              </w:rPr>
              <w:t>Pratyush Chandrasekhar</w:t>
            </w:r>
          </w:p>
        </w:tc>
        <w:tc>
          <w:tcPr>
            <w:tcW w:type="dxa" w:w="1650"/>
            <w:vAlign w:val="top"/>
          </w:tcPr>
          <w:p>
            <w:pPr>
              <w:keepNext w:val="0"/>
              <w:spacing w:line="252" w:lineRule="auto" w:after="40" w:before="40"/>
            </w:pPr>
            <w:r>
              <w:rPr>
                <w:rFonts w:ascii="Times New Roman" w:hAnsi="Times New Roman"/>
                <w:b w:val="0"/>
                <w:sz w:val="18"/>
              </w:rPr>
              <w:t>pratyush-chandrasekhar</w:t>
            </w:r>
          </w:p>
        </w:tc>
        <w:tc>
          <w:tcPr>
            <w:tcW w:type="dxa" w:w="1700"/>
            <w:vAlign w:val="top"/>
          </w:tcPr>
          <w:p>
            <w:pPr>
              <w:keepNext w:val="0"/>
              <w:spacing w:line="252" w:lineRule="auto" w:after="40" w:before="40"/>
            </w:pPr>
            <w:r>
              <w:rPr>
                <w:rFonts w:ascii="Times New Roman" w:hAnsi="Times New Roman"/>
                <w:b w:val="0"/>
                <w:sz w:val="18"/>
              </w:rPr>
              <w:t>feature/student1</w:t>
            </w:r>
          </w:p>
        </w:tc>
        <w:tc>
          <w:tcPr>
            <w:tcW w:type="dxa" w:w="900"/>
            <w:vAlign w:val="top"/>
          </w:tcPr>
          <w:p>
            <w:pPr>
              <w:keepNext w:val="0"/>
              <w:spacing w:line="252" w:lineRule="auto" w:after="40" w:before="40"/>
            </w:pPr>
            <w:r>
              <w:rPr>
                <w:rFonts w:ascii="Times New Roman" w:hAnsi="Times New Roman"/>
                <w:b w:val="0"/>
                <w:sz w:val="18"/>
              </w:rPr>
              <w:t>39</w:t>
            </w:r>
          </w:p>
        </w:tc>
        <w:tc>
          <w:tcPr>
            <w:tcW w:type="dxa" w:w="3400"/>
            <w:vAlign w:val="top"/>
          </w:tcPr>
          <w:p>
            <w:pPr>
              <w:keepNext w:val="0"/>
              <w:spacing w:line="252" w:lineRule="auto" w:after="40" w:before="40"/>
            </w:pPr>
            <w:r>
              <w:rPr>
                <w:rFonts w:ascii="Times New Roman" w:hAnsi="Times New Roman"/>
                <w:b w:val="0"/>
                <w:sz w:val="18"/>
              </w:rPr>
              <w:t>Author string count; current task allocation from README</w:t>
            </w:r>
          </w:p>
        </w:tc>
      </w:tr>
      <w:tr>
        <w:trPr>
          <w:cantSplit w:val="true"/>
        </w:trPr>
        <w:tc>
          <w:tcPr>
            <w:tcW w:type="dxa" w:w="1700"/>
            <w:vAlign w:val="top"/>
          </w:tcPr>
          <w:p>
            <w:pPr>
              <w:keepNext w:val="0"/>
              <w:spacing w:line="252" w:lineRule="auto" w:after="40" w:before="40"/>
            </w:pPr>
            <w:r>
              <w:rPr>
                <w:rFonts w:ascii="Times New Roman" w:hAnsi="Times New Roman"/>
                <w:b w:val="0"/>
                <w:sz w:val="18"/>
              </w:rPr>
              <w:t>Subhrojyoti Das</w:t>
            </w:r>
          </w:p>
        </w:tc>
        <w:tc>
          <w:tcPr>
            <w:tcW w:type="dxa" w:w="1650"/>
            <w:vAlign w:val="top"/>
          </w:tcPr>
          <w:p>
            <w:pPr>
              <w:keepNext w:val="0"/>
              <w:spacing w:line="252" w:lineRule="auto" w:after="40" w:before="40"/>
            </w:pPr>
            <w:r>
              <w:rPr>
                <w:rFonts w:ascii="Times New Roman" w:hAnsi="Times New Roman"/>
                <w:b w:val="0"/>
                <w:sz w:val="18"/>
              </w:rPr>
              <w:t>SUBHRO71 plus two name variants</w:t>
            </w:r>
          </w:p>
        </w:tc>
        <w:tc>
          <w:tcPr>
            <w:tcW w:type="dxa" w:w="1700"/>
            <w:vAlign w:val="top"/>
          </w:tcPr>
          <w:p>
            <w:pPr>
              <w:keepNext w:val="0"/>
              <w:spacing w:line="252" w:lineRule="auto" w:after="40" w:before="40"/>
            </w:pPr>
            <w:r>
              <w:rPr>
                <w:rFonts w:ascii="Times New Roman" w:hAnsi="Times New Roman"/>
                <w:b w:val="0"/>
                <w:sz w:val="18"/>
              </w:rPr>
              <w:t>feature/student2</w:t>
            </w:r>
          </w:p>
        </w:tc>
        <w:tc>
          <w:tcPr>
            <w:tcW w:type="dxa" w:w="900"/>
            <w:vAlign w:val="top"/>
          </w:tcPr>
          <w:p>
            <w:pPr>
              <w:keepNext w:val="0"/>
              <w:spacing w:line="252" w:lineRule="auto" w:after="40" w:before="40"/>
            </w:pPr>
            <w:r>
              <w:rPr>
                <w:rFonts w:ascii="Times New Roman" w:hAnsi="Times New Roman"/>
                <w:b w:val="0"/>
                <w:sz w:val="18"/>
              </w:rPr>
              <w:t>25 plus 1 plus 1</w:t>
            </w:r>
          </w:p>
        </w:tc>
        <w:tc>
          <w:tcPr>
            <w:tcW w:type="dxa" w:w="3400"/>
            <w:vAlign w:val="top"/>
          </w:tcPr>
          <w:p>
            <w:pPr>
              <w:keepNext w:val="0"/>
              <w:spacing w:line="252" w:lineRule="auto" w:after="40" w:before="40"/>
            </w:pPr>
            <w:r>
              <w:rPr>
                <w:rFonts w:ascii="Times New Roman" w:hAnsi="Times New Roman"/>
                <w:b w:val="0"/>
                <w:sz w:val="18"/>
              </w:rPr>
              <w:t>Separate author strings; v2 commits listed in Section 9</w:t>
            </w:r>
          </w:p>
        </w:tc>
      </w:tr>
      <w:tr>
        <w:trPr>
          <w:cantSplit w:val="true"/>
        </w:trPr>
        <w:tc>
          <w:tcPr>
            <w:tcW w:type="dxa" w:w="1700"/>
            <w:vAlign w:val="top"/>
          </w:tcPr>
          <w:p>
            <w:pPr>
              <w:keepNext w:val="0"/>
              <w:spacing w:line="252" w:lineRule="auto" w:after="40" w:before="40"/>
            </w:pPr>
            <w:r>
              <w:rPr>
                <w:rFonts w:ascii="Times New Roman" w:hAnsi="Times New Roman"/>
                <w:b w:val="0"/>
                <w:sz w:val="18"/>
              </w:rPr>
              <w:t>Mehul Anand</w:t>
            </w:r>
          </w:p>
        </w:tc>
        <w:tc>
          <w:tcPr>
            <w:tcW w:type="dxa" w:w="1650"/>
            <w:vAlign w:val="top"/>
          </w:tcPr>
          <w:p>
            <w:pPr>
              <w:keepNext w:val="0"/>
              <w:spacing w:line="252" w:lineRule="auto" w:after="40" w:before="40"/>
            </w:pPr>
            <w:r>
              <w:rPr>
                <w:rFonts w:ascii="Times New Roman" w:hAnsi="Times New Roman"/>
                <w:b w:val="0"/>
                <w:sz w:val="18"/>
              </w:rPr>
              <w:t>No separately identified author in local shortlog</w:t>
            </w:r>
          </w:p>
        </w:tc>
        <w:tc>
          <w:tcPr>
            <w:tcW w:type="dxa" w:w="1700"/>
            <w:vAlign w:val="top"/>
          </w:tcPr>
          <w:p>
            <w:pPr>
              <w:keepNext w:val="0"/>
              <w:spacing w:line="252" w:lineRule="auto" w:after="40" w:before="40"/>
            </w:pPr>
            <w:r>
              <w:rPr>
                <w:rFonts w:ascii="Times New Roman" w:hAnsi="Times New Roman"/>
                <w:b w:val="0"/>
                <w:sz w:val="18"/>
              </w:rPr>
              <w:t>feature/student3</w:t>
            </w:r>
          </w:p>
        </w:tc>
        <w:tc>
          <w:tcPr>
            <w:tcW w:type="dxa" w:w="900"/>
            <w:vAlign w:val="top"/>
          </w:tcPr>
          <w:p>
            <w:pPr>
              <w:keepNext w:val="0"/>
              <w:spacing w:line="252" w:lineRule="auto" w:after="40" w:before="40"/>
            </w:pPr>
            <w:r>
              <w:rPr>
                <w:rFonts w:ascii="Times New Roman" w:hAnsi="Times New Roman"/>
                <w:b w:val="0"/>
                <w:sz w:val="18"/>
              </w:rPr>
              <w:t>N/A</w:t>
            </w:r>
          </w:p>
        </w:tc>
        <w:tc>
          <w:tcPr>
            <w:tcW w:type="dxa" w:w="3400"/>
            <w:vAlign w:val="top"/>
          </w:tcPr>
          <w:p>
            <w:pPr>
              <w:keepNext w:val="0"/>
              <w:spacing w:line="252" w:lineRule="auto" w:after="40" w:before="40"/>
            </w:pPr>
            <w:r>
              <w:rPr>
                <w:rFonts w:ascii="Times New Roman" w:hAnsi="Times New Roman"/>
                <w:b w:val="0"/>
                <w:sz w:val="18"/>
              </w:rPr>
              <w:t>Count not established. Dataset/inference ownership recorded in README.</w:t>
            </w:r>
          </w:p>
        </w:tc>
      </w:tr>
    </w:tbl>
    <w:p>
      <w:pPr>
        <w:jc w:val="both"/>
      </w:pPr>
      <w:r>
        <w:rPr>
          <w:rFonts w:ascii="Times New Roman" w:hAnsi="Times New Roman"/>
          <w:b w:val="0"/>
        </w:rPr>
        <w:t>Local shortlog contains 39 commits under pratyush-chandrasekhar, 25 under SUBHRO71 and one each under SUBHROJYOTI DAS and Subhrojyoti Das. The latter names are retained as separate author strings; identities and missing member attribution are not guessed. No per-student review or pull-request target is claimed to have been met.</w:t>
      </w:r>
    </w:p>
    <w:p>
      <w:pPr>
        <w:pStyle w:val="Heading1"/>
      </w:pPr>
      <w:r>
        <w:rPr>
          <w:color w:val="000000"/>
        </w:rPr>
        <w:t>13 Conclusion and Future Enhancements</w:t>
      </w:r>
    </w:p>
    <w:p>
      <w:pPr>
        <w:pStyle w:val="Heading2"/>
      </w:pPr>
      <w:r>
        <w:rPr>
          <w:color w:val="000000"/>
        </w:rPr>
        <w:t>13 1 Conclusion</w:t>
      </w:r>
    </w:p>
    <w:p>
      <w:pPr>
        <w:jc w:val="both"/>
      </w:pPr>
      <w:r>
        <w:rPr>
          <w:rFonts w:ascii="Times New Roman" w:hAnsi="Times New Roman"/>
          <w:b w:val="0"/>
        </w:rPr>
        <w:t>CloudTierRecommender now provides a usable local cancer-imaging archive with validated file import, exact clinical linkage, persistent study records, NIfTI previews, a frozen pretrained MRI adapter and an explicit access-constrained storage comparison. Version-checked placement and bundle restore are audited local simulations. All 28 automated tests and the production frontend build passed during finalization. The retained v1 AWS handlers and SAM stack provide a cloud foundation. Real cohort evaluation, study-aware AWS execution, production governance and measured savings remain future milestones; the current results establish functional behavior and reproducibility rather than clinical or deployment validity.</w:t>
      </w:r>
    </w:p>
    <w:p>
      <w:pPr>
        <w:pStyle w:val="Heading2"/>
      </w:pPr>
      <w:r>
        <w:rPr>
          <w:color w:val="000000"/>
        </w:rPr>
        <w:t>13 2 Future Enhancements</w:t>
      </w:r>
    </w:p>
    <w:p>
      <w:r>
        <w:rPr>
          <w:rFonts w:ascii="Times New Roman" w:hAnsi="Times New Roman"/>
        </w:rPr>
        <w:t>Next steps, in order of priority:</w:t>
      </w:r>
    </w:p>
    <w:p>
      <w:pPr>
        <w:pStyle w:val="ListBullet"/>
      </w:pPr>
      <w:r>
        <w:rPr>
          <w:rFonts w:ascii="Times New Roman" w:hAnsi="Times New Roman"/>
          <w:b w:val="0"/>
        </w:rPr>
        <w:t>Acquire a permitted real imaging cohort and its actual clinical export/crosswalk; document release, subject counts, source permissions and missingness.</w:t>
      </w:r>
    </w:p>
    <w:p>
      <w:pPr>
        <w:pStyle w:val="ListBullet"/>
      </w:pPr>
      <w:r>
        <w:rPr>
          <w:rFonts w:ascii="Times New Roman" w:hAnsi="Times New Roman"/>
          <w:b w:val="0"/>
        </w:rPr>
        <w:t>Validate preprocessing, checkpoint compatibility and segmentation accuracy on an independent cohort; report appropriate Dice/HD95 results and audit overlap with model development data.</w:t>
      </w:r>
    </w:p>
    <w:p>
      <w:pPr>
        <w:pStyle w:val="ListBullet"/>
      </w:pPr>
      <w:r>
        <w:rPr>
          <w:rFonts w:ascii="Times New Roman" w:hAnsi="Times New Roman"/>
          <w:b w:val="0"/>
        </w:rPr>
        <w:t>Implement v2 DynamoDB/S3 bundle execution, object-level observed states, partial failure handling and complete-study cloud restore before claiming v2 deployment.</w:t>
      </w:r>
    </w:p>
    <w:p>
      <w:pPr>
        <w:pStyle w:val="ListBullet"/>
      </w:pPr>
      <w:r>
        <w:rPr>
          <w:rFonts w:ascii="Times New Roman" w:hAnsi="Times New Roman"/>
          <w:b w:val="0"/>
        </w:rPr>
        <w:t>Harden authentication, server-side roles, raw-file governance, monitoring and audit protection; add bounded pagination and robust queued inference.</w:t>
      </w:r>
    </w:p>
    <w:p>
      <w:pPr>
        <w:pStyle w:val="ListBullet"/>
      </w:pPr>
      <w:r>
        <w:rPr>
          <w:rFonts w:ascii="Times New Roman" w:hAnsi="Times New Roman"/>
          <w:b w:val="0"/>
        </w:rPr>
        <w:t>Review price assumptions and evaluate costs on realistic workload traces, including excluded charges. Compare all policies under identical access constraints.</w:t>
      </w:r>
    </w:p>
    <w:p>
      <w:pPr>
        <w:pStyle w:val="ListBullet"/>
      </w:pPr>
      <w:r>
        <w:rPr>
          <w:rFonts w:ascii="Times New Roman" w:hAnsi="Times New Roman"/>
          <w:b w:val="0"/>
        </w:rPr>
        <w:t>Deploy in a permitted AWS account, observe actual Lifecycle and restore outcomes, and capture monitoring and billing evidence. Keep research segmentation separate from any future validated retrieval forecasting.</w:t>
      </w:r>
    </w:p>
    <w:p>
      <w:pPr>
        <w:pStyle w:val="Heading1"/>
      </w:pPr>
      <w:r>
        <w:rPr>
          <w:color w:val="000000"/>
        </w:rPr>
        <w:t>References</w:t>
      </w:r>
    </w:p>
    <w:p/>
    <w:p>
      <w:pPr>
        <w:ind w:left="432" w:hanging="432"/>
      </w:pPr>
      <w:r>
        <w:rPr>
          <w:rFonts w:ascii="Times New Roman" w:hAnsi="Times New Roman"/>
          <w:sz w:val="22"/>
        </w:rPr>
        <w:t>[1] Khan, A. Q., Matskin, M., Prodan, R., Bussler, C., Roman, D., &amp; Soylu, A. (2024). Cloud storage tier optimization through storage object classification. Computing, 106, 3389–3418. https://doi.org/10.1007/s00607-024-01281-2</w:t>
      </w:r>
    </w:p>
    <w:p>
      <w:pPr>
        <w:ind w:left="432" w:hanging="432"/>
      </w:pPr>
      <w:r>
        <w:rPr>
          <w:rFonts w:ascii="Times New Roman" w:hAnsi="Times New Roman"/>
          <w:sz w:val="22"/>
        </w:rPr>
        <w:t>[2] Shakor, M. Y., &amp; Khaleel, M. I. (2024). Recent advances in big medical image data analysis through deep learning and cloud computing. Electronics, 13(24), 4860. https://doi.org/10.3390/electronics13244860</w:t>
      </w:r>
    </w:p>
    <w:p>
      <w:pPr>
        <w:ind w:left="432" w:hanging="432"/>
      </w:pPr>
      <w:r>
        <w:rPr>
          <w:rFonts w:ascii="Times New Roman" w:hAnsi="Times New Roman"/>
          <w:sz w:val="22"/>
        </w:rPr>
        <w:t>[3] Urbaniak, I. A. (2024). Using compressed JPEG and JPEG2000 medical images in deep learning: A review. Applied Sciences, 14(22), 10524. https://doi.org/10.3390/app142210524</w:t>
      </w:r>
    </w:p>
    <w:p>
      <w:pPr>
        <w:ind w:left="432" w:hanging="432"/>
      </w:pPr>
      <w:r>
        <w:rPr>
          <w:rFonts w:ascii="Times New Roman" w:hAnsi="Times New Roman"/>
          <w:sz w:val="22"/>
        </w:rPr>
        <w:t>[4] Dai, F. (2025). Deep learning based medical image compression using cross attention learning and wavelet transform. Scientific Reports, 15, 40008. https://doi.org/10.1038/s41598-025-23582-y</w:t>
      </w:r>
    </w:p>
    <w:p>
      <w:pPr>
        <w:ind w:left="432" w:hanging="432"/>
      </w:pPr>
      <w:r>
        <w:rPr>
          <w:rFonts w:ascii="Times New Roman" w:hAnsi="Times New Roman"/>
          <w:sz w:val="22"/>
        </w:rPr>
        <w:t>[5] Mani, V., Kavitha, C., Band, S. S., Mosavi, A., Hollins, P., &amp; Palanisamy, S. (2022). A recommendation system based on AI for storing block data in the electronic health repository. Frontiers in Public Health, 9, 831404. https://doi.org/10.3389/fpubh.2021.831404</w:t>
      </w:r>
    </w:p>
    <w:p>
      <w:pPr>
        <w:ind w:left="432" w:hanging="432"/>
      </w:pPr>
      <w:r>
        <w:rPr>
          <w:rFonts w:ascii="Times New Roman" w:hAnsi="Times New Roman"/>
          <w:sz w:val="22"/>
        </w:rPr>
        <w:t>[6] Nadig, R., Arulchelvan, V., Bera, R., Shahroodi, T., Singh, G., Kakolyris, A., Yuksel, I. E., Sadrosadati, M., Park, J., &amp; Mutlu, O. (2025). Harmonia: Enhancing data placement and migration in hybrid storage systems via multi-agent reinforcement learning (arXiv:2503.20507). arXiv. https://doi.org/10.48550/arXiv.2503.20507</w:t>
      </w:r>
    </w:p>
    <w:p>
      <w:pPr>
        <w:ind w:left="432" w:hanging="432"/>
      </w:pPr>
      <w:r>
        <w:rPr>
          <w:rFonts w:ascii="Times New Roman" w:hAnsi="Times New Roman"/>
          <w:sz w:val="22"/>
        </w:rPr>
        <w:t>[7] Bera, R., Nadig, R., &amp; Mutlu, O. (2026). Machine learning-driven intelligent memory system design: From on-chip caches to storage (arXiv:2603.14583). arXiv. https://doi.org/10.48550/arXiv.2603.14583</w:t>
      </w:r>
    </w:p>
    <w:p>
      <w:pPr>
        <w:ind w:left="432" w:hanging="432"/>
      </w:pPr>
      <w:r>
        <w:rPr>
          <w:rFonts w:ascii="Times New Roman" w:hAnsi="Times New Roman"/>
          <w:sz w:val="22"/>
        </w:rPr>
        <w:t>[8] Gupta, A., &amp; Bhayani, A. (2025). Cold-RL: Learning cache eviction with offline reinforcement learning for NGINX (arXiv:2508.12485). arXiv. https://doi.org/10.48550/arXiv.2508.12485</w:t>
      </w:r>
    </w:p>
    <w:p>
      <w:pPr>
        <w:ind w:left="432" w:hanging="432"/>
      </w:pPr>
      <w:r>
        <w:rPr>
          <w:rFonts w:ascii="Times New Roman" w:hAnsi="Times New Roman"/>
          <w:sz w:val="22"/>
        </w:rPr>
        <w:t>[9] Akünal, Ü., Bujotzek, M., Denner, S., Hamm, B., Kades, K., Schader, P., Scherer, J., Nolden, M., Neher, P., Floca, R., &amp; Maier-Hein, K. (2025). Kaapana: A comprehensive open-source platform for integrating AI in medical imaging research environments (arXiv:2512.09644). arXiv. https://doi.org/10.48550/arXiv.2512.09644</w:t>
      </w:r>
    </w:p>
    <w:p>
      <w:pPr>
        <w:ind w:left="432" w:hanging="432"/>
      </w:pPr>
      <w:r>
        <w:rPr>
          <w:rFonts w:ascii="Times New Roman" w:hAnsi="Times New Roman"/>
          <w:sz w:val="22"/>
        </w:rPr>
        <w:t>[10] Deng, Z., Tang, C., Huang, Z., et al. (2026). Project Imaging-X: A survey of 1000+ open-access medical imaging datasets for foundation model development (arXiv:2603.27460). arXiv. https://doi.org/10.48550/arXiv.2603.27460</w:t>
      </w:r>
    </w:p>
    <w:p>
      <w:pPr>
        <w:ind w:left="432" w:hanging="432"/>
      </w:pPr>
      <w:r>
        <w:rPr>
          <w:rFonts w:ascii="Times New Roman" w:hAnsi="Times New Roman"/>
          <w:sz w:val="22"/>
        </w:rPr>
        <w:t>[11] Mondal, A. S., Mukhopadhyay, A., &amp; Chattopadhyay, S. (2022). Machine learning-driven automatic storage space recommendation for object-based cloud storage system. Complex &amp; Intelligent Systems, 8, 489–505. https://doi.org/10.1007/s40747-021-00517-4</w:t>
      </w:r>
    </w:p>
    <w:p>
      <w:pPr>
        <w:ind w:left="432" w:hanging="432"/>
      </w:pPr>
      <w:r>
        <w:rPr>
          <w:rFonts w:ascii="Times New Roman" w:hAnsi="Times New Roman"/>
          <w:sz w:val="22"/>
        </w:rPr>
        <w:t>[12] Amaithi Rajan, A., Vetriselvi, V., Ajitesh, M., &amp; Praveen Kumar, R. (2025). Secure and fault tolerant cloud based framework for medical image storage and retrieval in a distributed environment. Scientific Reports, 15, 32965. https://doi.org/10.1038/s41598-025-16903-8</w:t>
      </w:r>
    </w:p>
    <w:p>
      <w:pPr>
        <w:ind w:left="432" w:hanging="432"/>
      </w:pPr>
      <w:r>
        <w:rPr>
          <w:rFonts w:ascii="Times New Roman" w:hAnsi="Times New Roman"/>
          <w:sz w:val="22"/>
        </w:rPr>
        <w:t>[13] Lemaréchal, Y., Couture, G., Pelletier, F., Lefol, R., Asselin, P.-L., Ouellet, S., Bernard, J., Ebrahimpour, L., Manem, V. S. K., Topalis, J., Schachtner, B., Jodogne, S., Joubert, P., Jeblick, K., Ingrisch, M., &amp; Després, P. (2025). PARADIM: A platform to support research at the interface of data science and medical imaging. Journal of Imaging Informatics in Medicine, 39(2), 1783–1795. https://doi.org/10.1007/s10278-025-01554-y</w:t>
      </w:r>
    </w:p>
    <w:p>
      <w:pPr>
        <w:ind w:left="432" w:hanging="432"/>
      </w:pPr>
      <w:r>
        <w:rPr>
          <w:rFonts w:ascii="Times New Roman" w:hAnsi="Times New Roman"/>
          <w:sz w:val="22"/>
        </w:rPr>
        <w:t>[14] Vahdati, S., Khosravi, B., Mahmoudi, E., Zhang, K., Rouzrokh, P., Faghani, S., Moassefi, M., Tahmasebi, A., Andriole, K. P., Chang, P., Farahani, K., Flores, M. G., Folio, L., Houshmand, S., Giger, M. L., Gichoya, J. W., &amp; Erickson, B. J. (2024). A guideline for open-source tools to make medical imaging data ready for artificial intelligence applications: A Society of Imaging Informatics in Medicine (SIIM) survey. Journal of Imaging Informatics in Medicine, 37(5), 2015–2024. https://doi.org/10.1007/s10278-024-01083-0</w:t>
      </w:r>
    </w:p>
    <w:p>
      <w:pPr>
        <w:ind w:left="432" w:hanging="432"/>
      </w:pPr>
      <w:r>
        <w:rPr>
          <w:rFonts w:ascii="Times New Roman" w:hAnsi="Times New Roman"/>
          <w:sz w:val="22"/>
        </w:rPr>
        <w:t>[15] Hai, T., Zhou, J., Srividhya, S. R., Jain, S. K., Young, P., &amp; Agrawal, S. (2022). BVFLEMR: An integrated federated learning and blockchain technology for cloud-based medical records recommendation system. Journal of Cloud Computing, 11, 22. https://doi.org/10.1186/s13677-022-00294-6</w:t>
      </w:r>
    </w:p>
    <w:p>
      <w:r>
        <w:rPr>
          <w:rFonts w:ascii="Times New Roman" w:hAnsi="Times New Roman"/>
          <w:b w:val="0"/>
          <w:sz w:val="22"/>
        </w:rPr>
        <w:t>[16] Amazon Web Services. Amazon S3 pricing. https://aws.amazon.com/s3/pricing/ . The implemented engineering snapshot is dated 21 September 2026; it is not a live price quotation.</w:t>
      </w:r>
    </w:p>
    <w:p>
      <w:r>
        <w:rPr>
          <w:rFonts w:ascii="Times New Roman" w:hAnsi="Times New Roman"/>
          <w:sz w:val="22"/>
        </w:rPr>
        <w:t>[17] Wang, X., Peng, Y., Lu, L., Lu, Z., Bagheri, M., &amp; Summers, R. M. (2017). ChestX-ray8: Hospital-scale chest X-ray database and benchmarks on weakly-supervised classification and localization of common thorax diseases. In Proceedings of the IEEE Conference on Computer Vision and Pattern Recognition (pp. 2097–2106). https://doi.org/10.1109/CVPR.2017.369</w:t>
      </w:r>
    </w:p>
    <w:p>
      <w:r>
        <w:rPr>
          <w:rFonts w:ascii="Times New Roman" w:hAnsi="Times New Roman"/>
          <w:sz w:val="22"/>
        </w:rPr>
        <w:t>[18] Cohen, J. P., Viviano, J. D., Bertin, P., Morrison, P., Torabian, P., Guarrera, M., Lungren, M. P., Chaudhari, A., Brooks, R., Hashir, M., &amp; Bertrand, H. (2022). TorchXRayVision: A library of chest X-ray datasets and models. In Proceedings of Machine Learning Research, 172, 231–249 (MIDL 2022). https://github.com/mlmed/torchxrayvision</w:t>
      </w:r>
    </w:p>
    <w:p>
      <w:r>
        <w:rPr>
          <w:rFonts w:ascii="Times New Roman" w:hAnsi="Times New Roman"/>
          <w:sz w:val="22"/>
        </w:rPr>
        <w:t>[19] Amazon Web Services. (2026). Managing the lifecycle of objects (Amazon S3 User Guide). https://docs.aws.amazon.com/AmazonS3/latest/userguide/object-lifecycle-mgmt.html</w:t>
      </w:r>
    </w:p>
    <w:p>
      <w:r>
        <w:rPr>
          <w:rFonts w:ascii="Times New Roman" w:hAnsi="Times New Roman"/>
          <w:sz w:val="22"/>
        </w:rPr>
        <w:t>[20] Amazon Web Services. (2026). AWS Serverless Application Model (AWS SAM) Developer Guide. https://docs.aws.amazon.com/serverless-application-model/</w:t>
      </w:r>
    </w:p>
    <w:p>
      <w:r>
        <w:rPr>
          <w:rFonts w:ascii="Times New Roman" w:hAnsi="Times New Roman"/>
          <w:sz w:val="22"/>
        </w:rPr>
        <w:t>[21] Das, S., Chandrasekhar, P., &amp; Anand, M. (2026). Smart Storage Tier Recommender for the Medical Sector [Source code]. GitHub. https://github.com/SUBHRO71/SmartStorageTierRecommenderForMedicalSector_Cloud_Project_2026</w:t>
      </w:r>
    </w:p>
    <w:p>
      <w:r>
        <w:rPr>
          <w:rFonts w:ascii="Times New Roman" w:hAnsi="Times New Roman"/>
          <w:sz w:val="22"/>
        </w:rPr>
        <w:t>[22] MONAI. BraTS MRI segmentation bundle. Published model repository. https://huggingface.co/MONAI/brats_mri_segmentation . Implemented release 0.5.4 and pinned revision are recorded in Section 11.</w:t>
      </w:r>
    </w:p>
    <w:p>
      <w:pPr>
        <w:pStyle w:val="Heading1"/>
        <w:pageBreakBefore/>
      </w:pPr>
      <w:r>
        <w:rPr>
          <w:color w:val="000000"/>
        </w:rPr>
        <w:t>Appendix A Project Timeline</w:t>
      </w:r>
    </w:p>
    <w:p>
      <w:pPr>
        <w:keepNext/>
        <w:spacing w:after="80"/>
      </w:pPr>
      <w:r>
        <w:rPr>
          <w:rFonts w:ascii="Times New Roman" w:hAnsi="Times New Roman"/>
          <w:b/>
          <w:sz w:val="21"/>
        </w:rPr>
        <w:t>Table 17. Project timeline.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tblHeader w:val="true"/>
        </w:trPr>
        <w:tc>
          <w:tcPr>
            <w:tcW w:type="dxa" w:w="1872"/>
            <w:vAlign w:val="center"/>
            <w:shd w:fill="D9EAF7"/>
          </w:tcPr>
          <w:p>
            <w:pPr>
              <w:keepNext/>
              <w:spacing w:line="252" w:lineRule="auto" w:before="40" w:after="40"/>
            </w:pPr>
            <w:r>
              <w:rPr>
                <w:b/>
                <w:sz w:val="18"/>
              </w:rPr>
              <w:t>Phase</w:t>
            </w:r>
          </w:p>
        </w:tc>
        <w:tc>
          <w:tcPr>
            <w:tcW w:type="dxa" w:w="1872"/>
            <w:vAlign w:val="center"/>
            <w:shd w:fill="D9EAF7"/>
          </w:tcPr>
          <w:p>
            <w:pPr>
              <w:keepNext/>
              <w:spacing w:line="252" w:lineRule="auto" w:before="40" w:after="40"/>
            </w:pPr>
            <w:r>
              <w:rPr>
                <w:b/>
                <w:sz w:val="18"/>
              </w:rPr>
              <w:t>Start</w:t>
            </w:r>
          </w:p>
        </w:tc>
        <w:tc>
          <w:tcPr>
            <w:tcW w:type="dxa" w:w="1872"/>
            <w:vAlign w:val="center"/>
            <w:shd w:fill="D9EAF7"/>
          </w:tcPr>
          <w:p>
            <w:pPr>
              <w:keepNext/>
              <w:spacing w:line="252" w:lineRule="auto" w:before="40" w:after="40"/>
            </w:pPr>
            <w:r>
              <w:rPr>
                <w:b/>
                <w:sz w:val="18"/>
              </w:rPr>
              <w:t>End</w:t>
            </w:r>
          </w:p>
        </w:tc>
        <w:tc>
          <w:tcPr>
            <w:tcW w:type="dxa" w:w="1872"/>
            <w:vAlign w:val="center"/>
            <w:shd w:fill="D9EAF7"/>
          </w:tcPr>
          <w:p>
            <w:pPr>
              <w:keepNext/>
              <w:spacing w:line="252" w:lineRule="auto" w:before="40" w:after="40"/>
            </w:pPr>
            <w:r>
              <w:rPr>
                <w:b/>
                <w:sz w:val="18"/>
              </w:rPr>
              <w:t>Owners</w:t>
            </w:r>
          </w:p>
        </w:tc>
        <w:tc>
          <w:tcPr>
            <w:tcW w:type="dxa" w:w="1872"/>
            <w:vAlign w:val="center"/>
            <w:shd w:fill="D9EAF7"/>
          </w:tcPr>
          <w:p>
            <w:pPr>
              <w:keepNext/>
              <w:spacing w:line="252" w:lineRule="auto" w:before="40" w:after="40"/>
            </w:pPr>
            <w:r>
              <w:rPr>
                <w:b/>
                <w:sz w:val="18"/>
              </w:rPr>
              <w:t>Status and evidence</w:t>
            </w:r>
          </w:p>
        </w:tc>
      </w:tr>
      <w:tr>
        <w:trPr>
          <w:cantSplit w:val="true"/>
        </w:trPr>
        <w:tc>
          <w:tcPr>
            <w:tcW w:type="dxa" w:w="1872"/>
            <w:vAlign w:val="top"/>
          </w:tcPr>
          <w:p>
            <w:pPr>
              <w:keepNext w:val="0"/>
              <w:spacing w:line="252" w:lineRule="auto" w:after="40" w:before="40"/>
            </w:pPr>
            <w:r>
              <w:rPr>
                <w:rFonts w:ascii="Times New Roman" w:hAnsi="Times New Roman"/>
                <w:b w:val="0"/>
                <w:sz w:val="18"/>
              </w:rPr>
              <w:t>Literature and gap review</w:t>
            </w:r>
          </w:p>
        </w:tc>
        <w:tc>
          <w:tcPr>
            <w:tcW w:type="dxa" w:w="1872"/>
            <w:vAlign w:val="top"/>
          </w:tcPr>
          <w:p>
            <w:pPr>
              <w:keepNext w:val="0"/>
              <w:spacing w:line="252" w:lineRule="auto" w:after="40" w:before="40"/>
            </w:pPr>
            <w:r>
              <w:rPr>
                <w:rFonts w:ascii="Times New Roman" w:hAnsi="Times New Roman"/>
                <w:b w:val="0"/>
                <w:sz w:val="18"/>
              </w:rPr>
              <w:t>July 2026</w:t>
            </w:r>
          </w:p>
        </w:tc>
        <w:tc>
          <w:tcPr>
            <w:tcW w:type="dxa" w:w="1872"/>
            <w:vAlign w:val="top"/>
          </w:tcPr>
          <w:p>
            <w:pPr>
              <w:keepNext w:val="0"/>
              <w:spacing w:line="252" w:lineRule="auto" w:after="40" w:before="40"/>
            </w:pPr>
            <w:r>
              <w:rPr>
                <w:rFonts w:ascii="Times New Roman" w:hAnsi="Times New Roman"/>
                <w:b w:val="0"/>
                <w:sz w:val="18"/>
              </w:rPr>
              <w:t>July 2026</w:t>
            </w:r>
          </w:p>
        </w:tc>
        <w:tc>
          <w:tcPr>
            <w:tcW w:type="dxa" w:w="1872"/>
            <w:vAlign w:val="top"/>
          </w:tcPr>
          <w:p>
            <w:pPr>
              <w:keepNext w:val="0"/>
              <w:spacing w:line="252" w:lineRule="auto" w:after="40" w:before="40"/>
            </w:pPr>
            <w:r>
              <w:rPr>
                <w:rFonts w:ascii="Times New Roman" w:hAnsi="Times New Roman"/>
                <w:b w:val="0"/>
                <w:sz w:val="18"/>
              </w:rPr>
              <w:t>All</w:t>
            </w:r>
          </w:p>
        </w:tc>
        <w:tc>
          <w:tcPr>
            <w:tcW w:type="dxa" w:w="1872"/>
            <w:vAlign w:val="top"/>
          </w:tcPr>
          <w:p>
            <w:pPr>
              <w:keepNext w:val="0"/>
              <w:spacing w:line="252" w:lineRule="auto" w:after="40" w:before="40"/>
            </w:pPr>
            <w:r>
              <w:rPr>
                <w:rFonts w:ascii="Times New Roman" w:hAnsi="Times New Roman"/>
                <w:b w:val="0"/>
                <w:sz w:val="18"/>
              </w:rPr>
              <w:t>Retained analyses and report survey</w:t>
            </w:r>
          </w:p>
        </w:tc>
      </w:tr>
      <w:tr>
        <w:trPr>
          <w:cantSplit w:val="true"/>
        </w:trPr>
        <w:tc>
          <w:tcPr>
            <w:tcW w:type="dxa" w:w="1872"/>
            <w:vAlign w:val="top"/>
          </w:tcPr>
          <w:p>
            <w:pPr>
              <w:keepNext w:val="0"/>
              <w:spacing w:line="252" w:lineRule="auto" w:after="40" w:before="40"/>
            </w:pPr>
            <w:r>
              <w:rPr>
                <w:rFonts w:ascii="Times New Roman" w:hAnsi="Times New Roman"/>
                <w:b w:val="0"/>
                <w:sz w:val="18"/>
              </w:rPr>
              <w:t>V1 local and AWS implementation</w:t>
            </w:r>
          </w:p>
        </w:tc>
        <w:tc>
          <w:tcPr>
            <w:tcW w:type="dxa" w:w="1872"/>
            <w:vAlign w:val="top"/>
          </w:tcPr>
          <w:p>
            <w:pPr>
              <w:keepNext w:val="0"/>
              <w:spacing w:line="252" w:lineRule="auto" w:after="40" w:before="40"/>
            </w:pPr>
            <w:r>
              <w:rPr>
                <w:rFonts w:ascii="Times New Roman" w:hAnsi="Times New Roman"/>
                <w:b w:val="0"/>
                <w:sz w:val="18"/>
              </w:rPr>
              <w:t>September 2026</w:t>
            </w:r>
          </w:p>
        </w:tc>
        <w:tc>
          <w:tcPr>
            <w:tcW w:type="dxa" w:w="1872"/>
            <w:vAlign w:val="top"/>
          </w:tcPr>
          <w:p>
            <w:pPr>
              <w:keepNext w:val="0"/>
              <w:spacing w:line="252" w:lineRule="auto" w:after="40" w:before="40"/>
            </w:pPr>
            <w:r>
              <w:rPr>
                <w:rFonts w:ascii="Times New Roman" w:hAnsi="Times New Roman"/>
                <w:b w:val="0"/>
                <w:sz w:val="18"/>
              </w:rPr>
              <w:t>24 September 2026</w:t>
            </w:r>
          </w:p>
        </w:tc>
        <w:tc>
          <w:tcPr>
            <w:tcW w:type="dxa" w:w="1872"/>
            <w:vAlign w:val="top"/>
          </w:tcPr>
          <w:p>
            <w:pPr>
              <w:keepNext w:val="0"/>
              <w:spacing w:line="252" w:lineRule="auto" w:after="40" w:before="40"/>
            </w:pPr>
            <w:r>
              <w:rPr>
                <w:rFonts w:ascii="Times New Roman" w:hAnsi="Times New Roman"/>
                <w:b w:val="0"/>
                <w:sz w:val="18"/>
              </w:rPr>
              <w:t>All</w:t>
            </w:r>
          </w:p>
        </w:tc>
        <w:tc>
          <w:tcPr>
            <w:tcW w:type="dxa" w:w="1872"/>
            <w:vAlign w:val="top"/>
          </w:tcPr>
          <w:p>
            <w:pPr>
              <w:keepNext w:val="0"/>
              <w:spacing w:line="252" w:lineRule="auto" w:after="40" w:before="40"/>
            </w:pPr>
            <w:r>
              <w:rPr>
                <w:rFonts w:ascii="Times New Roman" w:hAnsi="Times New Roman"/>
                <w:b w:val="0"/>
                <w:sz w:val="18"/>
              </w:rPr>
              <w:t>Local X-ray app and AWS code; deployment pending</w:t>
            </w:r>
          </w:p>
        </w:tc>
      </w:tr>
      <w:tr>
        <w:trPr>
          <w:cantSplit w:val="true"/>
        </w:trPr>
        <w:tc>
          <w:tcPr>
            <w:tcW w:type="dxa" w:w="1872"/>
            <w:vAlign w:val="top"/>
          </w:tcPr>
          <w:p>
            <w:pPr>
              <w:keepNext w:val="0"/>
              <w:spacing w:line="252" w:lineRule="auto" w:after="40" w:before="40"/>
            </w:pPr>
            <w:r>
              <w:rPr>
                <w:rFonts w:ascii="Times New Roman" w:hAnsi="Times New Roman"/>
                <w:b w:val="0"/>
                <w:sz w:val="18"/>
              </w:rPr>
              <w:t>V2 study archive and MRI adapter</w:t>
            </w:r>
          </w:p>
        </w:tc>
        <w:tc>
          <w:tcPr>
            <w:tcW w:type="dxa" w:w="1872"/>
            <w:vAlign w:val="top"/>
          </w:tcPr>
          <w:p>
            <w:pPr>
              <w:keepNext w:val="0"/>
              <w:spacing w:line="252" w:lineRule="auto" w:after="40" w:before="40"/>
            </w:pPr>
            <w:r>
              <w:rPr>
                <w:rFonts w:ascii="Times New Roman" w:hAnsi="Times New Roman"/>
                <w:b w:val="0"/>
                <w:sz w:val="18"/>
              </w:rPr>
              <w:t>11 October 2026</w:t>
            </w:r>
          </w:p>
        </w:tc>
        <w:tc>
          <w:tcPr>
            <w:tcW w:type="dxa" w:w="1872"/>
            <w:vAlign w:val="top"/>
          </w:tcPr>
          <w:p>
            <w:pPr>
              <w:keepNext w:val="0"/>
              <w:spacing w:line="252" w:lineRule="auto" w:after="40" w:before="40"/>
            </w:pPr>
            <w:r>
              <w:rPr>
                <w:rFonts w:ascii="Times New Roman" w:hAnsi="Times New Roman"/>
                <w:b w:val="0"/>
                <w:sz w:val="18"/>
              </w:rPr>
              <w:t>11 October 2026</w:t>
            </w:r>
          </w:p>
        </w:tc>
        <w:tc>
          <w:tcPr>
            <w:tcW w:type="dxa" w:w="1872"/>
            <w:vAlign w:val="top"/>
          </w:tcPr>
          <w:p>
            <w:pPr>
              <w:keepNext w:val="0"/>
              <w:spacing w:line="252" w:lineRule="auto" w:after="40" w:before="40"/>
            </w:pPr>
            <w:r>
              <w:rPr>
                <w:rFonts w:ascii="Times New Roman" w:hAnsi="Times New Roman"/>
                <w:b w:val="0"/>
                <w:sz w:val="18"/>
              </w:rPr>
              <w:t>Project team</w:t>
            </w:r>
          </w:p>
        </w:tc>
        <w:tc>
          <w:tcPr>
            <w:tcW w:type="dxa" w:w="1872"/>
            <w:vAlign w:val="top"/>
          </w:tcPr>
          <w:p>
            <w:pPr>
              <w:keepNext w:val="0"/>
              <w:spacing w:line="252" w:lineRule="auto" w:after="40" w:before="40"/>
            </w:pPr>
            <w:r>
              <w:rPr>
                <w:rFonts w:ascii="Times New Roman" w:hAnsi="Times New Roman"/>
                <w:b w:val="0"/>
                <w:sz w:val="18"/>
              </w:rPr>
              <w:t>c1f5152; current archive modules</w:t>
            </w:r>
          </w:p>
        </w:tc>
      </w:tr>
      <w:tr>
        <w:trPr>
          <w:cantSplit w:val="true"/>
        </w:trPr>
        <w:tc>
          <w:tcPr>
            <w:tcW w:type="dxa" w:w="1872"/>
            <w:vAlign w:val="top"/>
          </w:tcPr>
          <w:p>
            <w:pPr>
              <w:keepNext w:val="0"/>
              <w:spacing w:line="252" w:lineRule="auto" w:after="40" w:before="40"/>
            </w:pPr>
            <w:r>
              <w:rPr>
                <w:rFonts w:ascii="Times New Roman" w:hAnsi="Times New Roman"/>
                <w:b w:val="0"/>
                <w:sz w:val="18"/>
              </w:rPr>
              <w:t>V2 dashboard and product scope</w:t>
            </w:r>
          </w:p>
        </w:tc>
        <w:tc>
          <w:tcPr>
            <w:tcW w:type="dxa" w:w="1872"/>
            <w:vAlign w:val="top"/>
          </w:tcPr>
          <w:p>
            <w:pPr>
              <w:keepNext w:val="0"/>
              <w:spacing w:line="252" w:lineRule="auto" w:after="40" w:before="40"/>
            </w:pPr>
            <w:r>
              <w:rPr>
                <w:rFonts w:ascii="Times New Roman" w:hAnsi="Times New Roman"/>
                <w:b w:val="0"/>
                <w:sz w:val="18"/>
              </w:rPr>
              <w:t>11 October 2026</w:t>
            </w:r>
          </w:p>
        </w:tc>
        <w:tc>
          <w:tcPr>
            <w:tcW w:type="dxa" w:w="1872"/>
            <w:vAlign w:val="top"/>
          </w:tcPr>
          <w:p>
            <w:pPr>
              <w:keepNext w:val="0"/>
              <w:spacing w:line="252" w:lineRule="auto" w:after="40" w:before="40"/>
            </w:pPr>
            <w:r>
              <w:rPr>
                <w:rFonts w:ascii="Times New Roman" w:hAnsi="Times New Roman"/>
                <w:b w:val="0"/>
                <w:sz w:val="18"/>
              </w:rPr>
              <w:t>11 October 2026</w:t>
            </w:r>
          </w:p>
        </w:tc>
        <w:tc>
          <w:tcPr>
            <w:tcW w:type="dxa" w:w="1872"/>
            <w:vAlign w:val="top"/>
          </w:tcPr>
          <w:p>
            <w:pPr>
              <w:keepNext w:val="0"/>
              <w:spacing w:line="252" w:lineRule="auto" w:after="40" w:before="40"/>
            </w:pPr>
            <w:r>
              <w:rPr>
                <w:rFonts w:ascii="Times New Roman" w:hAnsi="Times New Roman"/>
                <w:b w:val="0"/>
                <w:sz w:val="18"/>
              </w:rPr>
              <w:t>Project team</w:t>
            </w:r>
          </w:p>
        </w:tc>
        <w:tc>
          <w:tcPr>
            <w:tcW w:type="dxa" w:w="1872"/>
            <w:vAlign w:val="top"/>
          </w:tcPr>
          <w:p>
            <w:pPr>
              <w:keepNext w:val="0"/>
              <w:spacing w:line="252" w:lineRule="auto" w:after="40" w:before="40"/>
            </w:pPr>
            <w:r>
              <w:rPr>
                <w:rFonts w:ascii="Times New Roman" w:hAnsi="Times New Roman"/>
                <w:b w:val="0"/>
                <w:sz w:val="18"/>
              </w:rPr>
              <w:t>a5248e0 and dcff096</w:t>
            </w:r>
          </w:p>
        </w:tc>
      </w:tr>
      <w:tr>
        <w:trPr>
          <w:cantSplit w:val="true"/>
        </w:trPr>
        <w:tc>
          <w:tcPr>
            <w:tcW w:type="dxa" w:w="1872"/>
            <w:vAlign w:val="top"/>
          </w:tcPr>
          <w:p>
            <w:pPr>
              <w:keepNext w:val="0"/>
              <w:spacing w:line="252" w:lineRule="auto" w:after="40" w:before="40"/>
            </w:pPr>
            <w:r>
              <w:rPr>
                <w:rFonts w:ascii="Times New Roman" w:hAnsi="Times New Roman"/>
                <w:b w:val="0"/>
                <w:sz w:val="18"/>
              </w:rPr>
              <w:t>Current verification and report</w:t>
            </w:r>
          </w:p>
        </w:tc>
        <w:tc>
          <w:tcPr>
            <w:tcW w:type="dxa" w:w="1872"/>
            <w:vAlign w:val="top"/>
          </w:tcPr>
          <w:p>
            <w:pPr>
              <w:keepNext w:val="0"/>
              <w:spacing w:line="252" w:lineRule="auto" w:after="40" w:before="40"/>
            </w:pPr>
            <w:r>
              <w:rPr>
                <w:rFonts w:ascii="Times New Roman" w:hAnsi="Times New Roman"/>
                <w:b w:val="0"/>
                <w:sz w:val="18"/>
              </w:rPr>
              <w:t>16 October 2026</w:t>
            </w:r>
          </w:p>
        </w:tc>
        <w:tc>
          <w:tcPr>
            <w:tcW w:type="dxa" w:w="1872"/>
            <w:vAlign w:val="top"/>
          </w:tcPr>
          <w:p>
            <w:pPr>
              <w:keepNext w:val="0"/>
              <w:spacing w:line="252" w:lineRule="auto" w:after="40" w:before="40"/>
            </w:pPr>
            <w:r>
              <w:rPr>
                <w:rFonts w:ascii="Times New Roman" w:hAnsi="Times New Roman"/>
                <w:b w:val="0"/>
                <w:sz w:val="18"/>
              </w:rPr>
              <w:t>16 October 2026</w:t>
            </w:r>
          </w:p>
        </w:tc>
        <w:tc>
          <w:tcPr>
            <w:tcW w:type="dxa" w:w="1872"/>
            <w:vAlign w:val="top"/>
          </w:tcPr>
          <w:p>
            <w:pPr>
              <w:keepNext w:val="0"/>
              <w:spacing w:line="252" w:lineRule="auto" w:after="40" w:before="40"/>
            </w:pPr>
            <w:r>
              <w:rPr>
                <w:rFonts w:ascii="Times New Roman" w:hAnsi="Times New Roman"/>
                <w:b w:val="0"/>
                <w:sz w:val="18"/>
              </w:rPr>
              <w:t>Project team</w:t>
            </w:r>
          </w:p>
        </w:tc>
        <w:tc>
          <w:tcPr>
            <w:tcW w:type="dxa" w:w="1872"/>
            <w:vAlign w:val="top"/>
          </w:tcPr>
          <w:p>
            <w:pPr>
              <w:keepNext w:val="0"/>
              <w:spacing w:line="252" w:lineRule="auto" w:after="40" w:before="40"/>
            </w:pPr>
            <w:r>
              <w:rPr>
                <w:rFonts w:ascii="Times New Roman" w:hAnsi="Times New Roman"/>
                <w:b w:val="0"/>
                <w:sz w:val="18"/>
              </w:rPr>
              <w:t>28 tests, production build, synthetic cost rerun</w:t>
            </w:r>
          </w:p>
        </w:tc>
      </w:tr>
      <w:tr>
        <w:trPr>
          <w:cantSplit w:val="true"/>
        </w:trPr>
        <w:tc>
          <w:tcPr>
            <w:tcW w:type="dxa" w:w="1872"/>
            <w:vAlign w:val="top"/>
          </w:tcPr>
          <w:p>
            <w:pPr>
              <w:keepNext w:val="0"/>
              <w:spacing w:line="252" w:lineRule="auto" w:after="40" w:before="40"/>
            </w:pPr>
            <w:r>
              <w:rPr>
                <w:rFonts w:ascii="Times New Roman" w:hAnsi="Times New Roman"/>
                <w:b w:val="0"/>
                <w:sz w:val="18"/>
              </w:rPr>
              <w:t>Real cohort and cloud milestones</w:t>
            </w:r>
          </w:p>
        </w:tc>
        <w:tc>
          <w:tcPr>
            <w:tcW w:type="dxa" w:w="1872"/>
            <w:vAlign w:val="top"/>
          </w:tcPr>
          <w:p>
            <w:pPr>
              <w:keepNext w:val="0"/>
              <w:spacing w:line="252" w:lineRule="auto" w:after="40" w:before="40"/>
            </w:pPr>
            <w:r>
              <w:rPr>
                <w:rFonts w:ascii="Times New Roman" w:hAnsi="Times New Roman"/>
                <w:b w:val="0"/>
                <w:sz w:val="18"/>
              </w:rPr>
              <w:t>Future</w:t>
            </w:r>
          </w:p>
        </w:tc>
        <w:tc>
          <w:tcPr>
            <w:tcW w:type="dxa" w:w="1872"/>
            <w:vAlign w:val="top"/>
          </w:tcPr>
          <w:p>
            <w:pPr>
              <w:keepNext w:val="0"/>
              <w:spacing w:line="252" w:lineRule="auto" w:after="40" w:before="40"/>
            </w:pPr>
            <w:r>
              <w:rPr>
                <w:rFonts w:ascii="Times New Roman" w:hAnsi="Times New Roman"/>
                <w:b w:val="0"/>
                <w:sz w:val="18"/>
              </w:rPr>
              <w:t>Future</w:t>
            </w:r>
          </w:p>
        </w:tc>
        <w:tc>
          <w:tcPr>
            <w:tcW w:type="dxa" w:w="1872"/>
            <w:vAlign w:val="top"/>
          </w:tcPr>
          <w:p>
            <w:pPr>
              <w:keepNext w:val="0"/>
              <w:spacing w:line="252" w:lineRule="auto" w:after="40" w:before="40"/>
            </w:pPr>
            <w:r>
              <w:rPr>
                <w:rFonts w:ascii="Times New Roman" w:hAnsi="Times New Roman"/>
                <w:b w:val="0"/>
                <w:sz w:val="18"/>
              </w:rPr>
              <w:t>Project team</w:t>
            </w:r>
          </w:p>
        </w:tc>
        <w:tc>
          <w:tcPr>
            <w:tcW w:type="dxa" w:w="1872"/>
            <w:vAlign w:val="top"/>
          </w:tcPr>
          <w:p>
            <w:pPr>
              <w:keepNext w:val="0"/>
              <w:spacing w:line="252" w:lineRule="auto" w:after="40" w:before="40"/>
            </w:pPr>
            <w:r>
              <w:rPr>
                <w:rFonts w:ascii="Times New Roman" w:hAnsi="Times New Roman"/>
                <w:b w:val="0"/>
                <w:sz w:val="18"/>
              </w:rPr>
              <w:t>Acquisition, accuracy and v2 deployment pending</w:t>
            </w:r>
          </w:p>
        </w:tc>
      </w:tr>
    </w:tbl>
    <w:p/>
    <w:p>
      <w:pPr>
        <w:pStyle w:val="Heading1"/>
        <w:pageBreakBefore/>
      </w:pPr>
      <w:r>
        <w:rPr>
          <w:color w:val="000000"/>
        </w:rPr>
        <w:t>Appendix B Completion Review</w:t>
      </w:r>
    </w:p>
    <w:p>
      <w:r>
        <w:rPr>
          <w:rFonts w:ascii="Times New Roman" w:hAnsi="Times New Roman"/>
          <w:b w:val="0"/>
        </w:rPr>
        <w:t>Completed: abstract describes the current study archive, research MRI path, storage policy, AWS boundary and evidence.</w:t>
      </w:r>
    </w:p>
    <w:p>
      <w:r>
        <w:rPr>
          <w:rFonts w:ascii="Times New Roman" w:hAnsi="Times New Roman"/>
          <w:b w:val="0"/>
        </w:rPr>
        <w:t>Completed: original 15-paper survey and individual research-gap analyses retained as prior research context.</w:t>
      </w:r>
    </w:p>
    <w:p>
      <w:r>
        <w:rPr>
          <w:rFonts w:ascii="Times New Roman" w:hAnsi="Times New Roman"/>
          <w:b w:val="0"/>
        </w:rPr>
        <w:t>Completed: current objectives are mapped to implemented behavior and explicit validation boundaries.</w:t>
      </w:r>
    </w:p>
    <w:p>
      <w:r>
        <w:rPr>
          <w:rFonts w:ascii="Times New Roman" w:hAnsi="Times New Roman"/>
          <w:b w:val="0"/>
        </w:rPr>
        <w:t>Completed: dataset section distinguishes real imports, synthetic sample metadata and synthetic model fixtures.</w:t>
      </w:r>
    </w:p>
    <w:p>
      <w:r>
        <w:rPr>
          <w:rFonts w:ascii="Times New Roman" w:hAnsi="Times New Roman"/>
          <w:b w:val="0"/>
        </w:rPr>
        <w:t>Completed: current local architecture and retained AWS architecture are separately explained.</w:t>
      </w:r>
    </w:p>
    <w:p>
      <w:r>
        <w:rPr>
          <w:rFonts w:ascii="Times New Roman" w:hAnsi="Times New Roman"/>
          <w:b w:val="0"/>
        </w:rPr>
        <w:t>Completed: module evidence, 28 passing tests, successful frontend build and reproducible cost scenario are recorded.</w:t>
      </w:r>
    </w:p>
    <w:p>
      <w:r>
        <w:rPr>
          <w:rFonts w:ascii="Times New Roman" w:hAnsi="Times New Roman"/>
          <w:b w:val="0"/>
        </w:rPr>
        <w:t>Completed: model release, revision, checkpoint checksum, runtime and synthetic-input limitations are documented.</w:t>
      </w:r>
    </w:p>
    <w:p>
      <w:r>
        <w:rPr>
          <w:rFonts w:ascii="Times New Roman" w:hAnsi="Times New Roman"/>
          <w:b w:val="0"/>
        </w:rPr>
        <w:t>Completed: unfinished provider acquisition, clinical evaluation and study-aware cloud operations are identified as future work.</w:t>
      </w:r>
    </w:p>
    <w:p>
      <w:r>
        <w:rPr>
          <w:rFonts w:ascii="Times New Roman" w:hAnsi="Times New Roman"/>
          <w:b w:val="0"/>
        </w:rPr>
        <w:t>Pending milestone: real-data MRI accuracy assessment and retrieval/workload evaluation.</w:t>
      </w:r>
    </w:p>
    <w:p>
      <w:r>
        <w:rPr>
          <w:rFonts w:ascii="Times New Roman" w:hAnsi="Times New Roman"/>
          <w:b w:val="0"/>
        </w:rPr>
        <w:t>Pending milestone: deployed v2 AWS transitions, restores, observability and billing evidence.</w:t>
      </w:r>
    </w:p>
    <w:p>
      <w:r>
        <w:rPr>
          <w:rFonts w:ascii="Times New Roman" w:hAnsi="Times New Roman"/>
          <w:b w:val="0"/>
        </w:rPr>
        <w:t>Completed: member names and registration numbers retained; unverified contribution counts are not invented.</w:t>
      </w:r>
    </w:p>
    <w:p>
      <w:r>
        <w:rPr>
          <w:rFonts w:ascii="Times New Roman" w:hAnsi="Times New Roman"/>
          <w:b w:val="0"/>
        </w:rPr>
        <w:t>Completed: no credentials or raw clinical records are included in the report.</w:t>
      </w:r>
    </w:p>
    <w:p>
      <w:r>
        <w:rPr>
          <w:rFonts w:ascii="Times New Roman" w:hAnsi="Times New Roman"/>
          <w:b w:val="0"/>
        </w:rPr>
        <w:t>Completed: current implementation and remaining project milestones are documented.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