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jc w:val="center"/>
      </w:pPr>
      <w:r>
        <w:rPr>
          <w:rFonts w:ascii="Times New Roman" w:hAnsi="Times New Roman"/>
          <w:b/>
          <w:sz w:val="32"/>
        </w:rPr>
        <w:t>Informe de Laboratorio de Minería de Datos: Análisis Exploratorio del Healthcare Dataset</w:t>
      </w:r>
    </w:p>
    <w:p>
      <w:pPr>
        <w:jc w:val="center"/>
      </w:pPr>
      <w:r>
        <w:rPr>
          <w:rFonts w:ascii="Times New Roman" w:hAnsi="Times New Roman"/>
          <w:i/>
          <w:sz w:val="24"/>
        </w:rPr>
        <w:t>Sesión 5 · Evaluación (instrumento del PEA)</w:t>
      </w:r>
    </w:p>
    <w:p>
      <w:pPr>
        <w:spacing w:after="0"/>
      </w:pPr>
    </w:p>
    <w:p>
      <w:pPr>
        <w:spacing w:after="120" w:line="240" w:lineRule="auto"/>
        <w:ind w:firstLine="0"/>
        <w:jc w:val="center"/>
      </w:pPr>
      <w:r>
        <w:rPr>
          <w:rFonts w:ascii="Times New Roman" w:hAnsi="Times New Roman"/>
          <w:b/>
          <w:i w:val="0"/>
          <w:sz w:val="24"/>
        </w:rPr>
        <w:t>Manuel José Rivera Guzmán y Julián Andrés Correa Cuevas</w:t>
      </w:r>
    </w:p>
    <w:p>
      <w:pPr>
        <w:spacing w:after="120" w:line="240" w:lineRule="auto"/>
        <w:ind w:firstLine="0"/>
        <w:jc w:val="center"/>
      </w:pPr>
      <w:r>
        <w:rPr>
          <w:rFonts w:ascii="Times New Roman" w:hAnsi="Times New Roman"/>
          <w:b w:val="0"/>
          <w:i w:val="0"/>
          <w:sz w:val="24"/>
        </w:rPr>
        <w:t>Corporación Universitaria Minuto de Dios</w:t>
      </w:r>
    </w:p>
    <w:p>
      <w:pPr>
        <w:spacing w:after="120" w:line="240" w:lineRule="auto"/>
        <w:ind w:firstLine="0"/>
        <w:jc w:val="center"/>
      </w:pPr>
      <w:r>
        <w:rPr>
          <w:rFonts w:ascii="Times New Roman" w:hAnsi="Times New Roman"/>
          <w:b w:val="0"/>
          <w:i w:val="0"/>
          <w:sz w:val="24"/>
        </w:rPr>
        <w:t>Programa: Ingeniería de Sistemas / Minería de Datos</w:t>
      </w:r>
    </w:p>
    <w:p>
      <w:pPr>
        <w:spacing w:after="120" w:line="240" w:lineRule="auto"/>
        <w:ind w:firstLine="0"/>
        <w:jc w:val="center"/>
      </w:pPr>
      <w:r>
        <w:rPr>
          <w:rFonts w:ascii="Times New Roman" w:hAnsi="Times New Roman"/>
          <w:b w:val="0"/>
          <w:i w:val="0"/>
          <w:sz w:val="24"/>
        </w:rPr>
        <w:t>Curso: Minería de Datos</w:t>
      </w:r>
    </w:p>
    <w:p>
      <w:pPr>
        <w:spacing w:after="120" w:line="240" w:lineRule="auto"/>
        <w:ind w:firstLine="0"/>
        <w:jc w:val="center"/>
      </w:pPr>
      <w:r>
        <w:rPr>
          <w:rFonts w:ascii="Times New Roman" w:hAnsi="Times New Roman"/>
          <w:b w:val="0"/>
          <w:i w:val="0"/>
          <w:sz w:val="24"/>
        </w:rPr>
        <w:t>Docente: Estaban Ernesto Morales Castro</w:t>
      </w:r>
    </w:p>
    <w:p>
      <w:pPr>
        <w:spacing w:after="120" w:line="240" w:lineRule="auto"/>
        <w:ind w:firstLine="0"/>
        <w:jc w:val="center"/>
      </w:pPr>
      <w:r>
        <w:rPr>
          <w:rFonts w:ascii="Times New Roman" w:hAnsi="Times New Roman"/>
          <w:b w:val="0"/>
          <w:i w:val="0"/>
          <w:sz w:val="24"/>
        </w:rPr>
        <w:t>Octubre de 2026</w:t>
      </w:r>
    </w:p>
    <w:p>
      <w:r>
        <w:br w:type="page"/>
      </w:r>
    </w:p>
    <w:p>
      <w:pPr>
        <w:spacing w:before="240" w:after="120" w:line="480" w:lineRule="auto"/>
        <w:ind w:firstLine="0"/>
        <w:jc w:val="center"/>
      </w:pPr>
      <w:r>
        <w:rPr>
          <w:rFonts w:ascii="Times New Roman" w:hAnsi="Times New Roman"/>
          <w:b/>
          <w:i w:val="0"/>
          <w:sz w:val="24"/>
        </w:rPr>
        <w:t>Resumen</w:t>
      </w:r>
    </w:p>
    <w:p>
      <w:pPr>
        <w:spacing w:line="480" w:lineRule="auto" w:after="0"/>
        <w:ind w:firstLine="0"/>
      </w:pPr>
      <w:r>
        <w:rPr>
          <w:rFonts w:ascii="Times New Roman" w:hAnsi="Times New Roman"/>
          <w:b w:val="0"/>
          <w:i w:val="0"/>
          <w:sz w:val="24"/>
        </w:rPr>
        <w:t>Se presenta un análisis exploratorio del Healthcare Dataset (Kaggle), compuesto por 54.966 admisiones hospitalarias después del proceso de limpieza (55.500 registros crudos). El estudio evalúa la calidad de los datos, caracteriza las variables demográficas, clínicas y administrativas mediante análisis univariado, y examina las relaciones entre variables y el monto de facturación (Billing Amount) mediante análisis bivariado y multivariado. Los resultados muestran que las variables numéricas (edad, duración de la estancia) no se correlacionan linealmente con la facturación (r ≈ 0), y que no existen diferencias estadísticamente significativas en el monto facturado por tipo de admisión, género ni resultado de prueba. La única asociación significativa se observa para la condición médica Cáncer, cuya facturación media es menor que la del resto de condiciones (p = 0,004). Se identifican 106 facturas con monto negativo y se proponen segmentos de facturación y de edad como nuevas variables para futuros modelos.</w:t>
      </w:r>
    </w:p>
    <w:p>
      <w:pPr>
        <w:spacing w:line="480" w:lineRule="auto" w:after="0"/>
        <w:ind w:firstLine="0"/>
      </w:pPr>
      <w:r>
        <w:rPr>
          <w:rFonts w:ascii="Times New Roman" w:hAnsi="Times New Roman"/>
          <w:b w:val="0"/>
          <w:i/>
          <w:sz w:val="24"/>
        </w:rPr>
        <w:t>Palabras clave: minería de datos, análisis exploratorio, healthcare dataset, facturación hospitalaria, calidad de datos.</w:t>
      </w:r>
    </w:p>
    <w:p>
      <w:pPr>
        <w:spacing w:before="240" w:after="120" w:line="480" w:lineRule="auto"/>
        <w:ind w:firstLine="0"/>
        <w:jc w:val="center"/>
      </w:pPr>
      <w:r>
        <w:rPr>
          <w:rFonts w:ascii="Times New Roman" w:hAnsi="Times New Roman"/>
          <w:b/>
          <w:i w:val="0"/>
          <w:sz w:val="24"/>
        </w:rPr>
        <w:t>1. Portada y Contexto</w:t>
      </w:r>
    </w:p>
    <w:p>
      <w:pPr>
        <w:spacing w:before="160" w:after="120" w:line="480" w:lineRule="auto"/>
        <w:ind w:firstLine="0"/>
        <w:jc w:val="left"/>
      </w:pPr>
      <w:r>
        <w:rPr>
          <w:rFonts w:ascii="Times New Roman" w:hAnsi="Times New Roman"/>
          <w:b/>
          <w:i w:val="0"/>
          <w:sz w:val="24"/>
        </w:rPr>
        <w:t>1.1 Pregunta de negocio</w:t>
      </w:r>
    </w:p>
    <w:p>
      <w:pPr>
        <w:spacing w:line="480" w:lineRule="auto" w:after="0"/>
        <w:ind w:firstLine="720"/>
      </w:pPr>
      <w:r>
        <w:rPr>
          <w:rFonts w:ascii="Times New Roman" w:hAnsi="Times New Roman"/>
          <w:b w:val="0"/>
          <w:i w:val="0"/>
          <w:sz w:val="24"/>
        </w:rPr>
        <w:t>¿Qué factores se asocian con el monto de facturación de las admisiones hospitalarias y qué patrones caracterizan a los pacientes atendidos?</w:t>
      </w:r>
    </w:p>
    <w:p>
      <w:pPr>
        <w:spacing w:before="160" w:after="120" w:line="480" w:lineRule="auto"/>
        <w:ind w:firstLine="0"/>
        <w:jc w:val="left"/>
      </w:pPr>
      <w:r>
        <w:rPr>
          <w:rFonts w:ascii="Times New Roman" w:hAnsi="Times New Roman"/>
          <w:b/>
          <w:i w:val="0"/>
          <w:sz w:val="24"/>
        </w:rPr>
        <w:t>1.2 Objetivos del análisis</w:t>
      </w:r>
    </w:p>
    <w:p>
      <w:pPr>
        <w:pStyle w:val="ListBullet"/>
        <w:spacing w:line="480" w:lineRule="auto" w:after="0"/>
        <w:ind w:firstLine="0"/>
      </w:pPr>
      <w:r>
        <w:rPr>
          <w:rFonts w:ascii="Times New Roman" w:hAnsi="Times New Roman"/>
          <w:sz w:val="24"/>
        </w:rPr>
        <w:t>Caracterizar la distribución de las variables demográficas, clínicas y administrativas del dataset.</w:t>
      </w:r>
    </w:p>
    <w:p>
      <w:pPr>
        <w:pStyle w:val="ListBullet"/>
        <w:spacing w:line="480" w:lineRule="auto" w:after="0"/>
        <w:ind w:firstLine="0"/>
      </w:pPr>
      <w:r>
        <w:rPr>
          <w:rFonts w:ascii="Times New Roman" w:hAnsi="Times New Roman"/>
          <w:sz w:val="24"/>
        </w:rPr>
        <w:t>Evaluar la calidad de los datos heredada de las sesiones 3 y 4 (nulos, duplicados, outliers).</w:t>
      </w:r>
    </w:p>
    <w:p>
      <w:pPr>
        <w:pStyle w:val="ListBullet"/>
        <w:spacing w:line="480" w:lineRule="auto" w:after="0"/>
        <w:ind w:firstLine="0"/>
      </w:pPr>
      <w:r>
        <w:rPr>
          <w:rFonts w:ascii="Times New Roman" w:hAnsi="Times New Roman"/>
          <w:sz w:val="24"/>
        </w:rPr>
        <w:t>Identificar asociaciones entre las variables y el monto de facturación (Billing Amount).</w:t>
      </w:r>
    </w:p>
    <w:p>
      <w:pPr>
        <w:pStyle w:val="ListBullet"/>
        <w:spacing w:line="480" w:lineRule="auto" w:after="0"/>
        <w:ind w:firstLine="0"/>
      </w:pPr>
      <w:r>
        <w:rPr>
          <w:rFonts w:ascii="Times New Roman" w:hAnsi="Times New Roman"/>
          <w:sz w:val="24"/>
        </w:rPr>
        <w:t>Proponer nuevas variables y segmentos, y validar al menos dos hipótesis explícitas con datos.</w:t>
      </w:r>
    </w:p>
    <w:p>
      <w:pPr>
        <w:spacing w:before="160" w:after="120" w:line="480" w:lineRule="auto"/>
        <w:ind w:firstLine="0"/>
        <w:jc w:val="left"/>
      </w:pPr>
      <w:r>
        <w:rPr>
          <w:rFonts w:ascii="Times New Roman" w:hAnsi="Times New Roman"/>
          <w:b/>
          <w:i w:val="0"/>
          <w:sz w:val="24"/>
        </w:rPr>
        <w:t>1.3 Dataset</w:t>
      </w:r>
    </w:p>
    <w:p>
      <w:pPr>
        <w:spacing w:line="480" w:lineRule="auto" w:after="0"/>
        <w:ind w:firstLine="720"/>
      </w:pPr>
      <w:r>
        <w:rPr>
          <w:rFonts w:ascii="Times New Roman" w:hAnsi="Times New Roman"/>
          <w:b w:val="0"/>
          <w:i w:val="0"/>
          <w:sz w:val="24"/>
        </w:rPr>
        <w:t>Fuente: Healthcare Dataset (prasad22, 2024) de Kaggle. Contiene 55.500 admisiones hospitalarias con 15 columnas originales (datos del paciente, de la admisión y de la cuenta administrativa). Tras la limpieza quedan 54.966 registros y 16 columnas (se añade Factura_Negativa).</w:t>
      </w:r>
    </w:p>
    <w:p>
      <w:pPr>
        <w:spacing w:before="240" w:after="120" w:line="480" w:lineRule="auto"/>
        <w:ind w:firstLine="0"/>
        <w:jc w:val="center"/>
      </w:pPr>
      <w:r>
        <w:rPr>
          <w:rFonts w:ascii="Times New Roman" w:hAnsi="Times New Roman"/>
          <w:b/>
          <w:i w:val="0"/>
          <w:sz w:val="24"/>
        </w:rPr>
        <w:t>2. Calidad de Datos</w:t>
      </w:r>
    </w:p>
    <w:p>
      <w:pPr>
        <w:spacing w:line="480" w:lineRule="auto" w:after="0"/>
        <w:ind w:firstLine="720"/>
      </w:pPr>
      <w:r>
        <w:rPr>
          <w:rFonts w:ascii="Times New Roman" w:hAnsi="Times New Roman"/>
          <w:b w:val="0"/>
          <w:i w:val="0"/>
          <w:sz w:val="24"/>
        </w:rPr>
        <w:t>La calidad de los datos se hereda de las sesiones 3 y 4. A continuación se resumen los hallazgos y las decisiones tomadas.</w:t>
      </w:r>
    </w:p>
    <w:p>
      <w:pPr>
        <w:spacing w:before="120" w:line="240" w:lineRule="auto"/>
        <w:ind w:firstLine="0"/>
        <w:jc w:val="left"/>
      </w:pPr>
      <w:r>
        <w:rPr>
          <w:rFonts w:ascii="Times New Roman" w:hAnsi="Times New Roman"/>
          <w:b/>
          <w:sz w:val="24"/>
        </w:rPr>
        <w:t>Tabla 1</w:t>
      </w:r>
    </w:p>
    <w:p>
      <w:pPr>
        <w:spacing w:line="240" w:lineRule="auto" w:after="80"/>
        <w:ind w:firstLine="0"/>
        <w:jc w:val="left"/>
      </w:pPr>
      <w:r>
        <w:rPr>
          <w:rFonts w:ascii="Times New Roman" w:hAnsi="Times New Roman"/>
          <w:i/>
          <w:sz w:val="24"/>
        </w:rPr>
        <w:t>Resumen de calidad de datos del dataset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D9E2F3"/>
          </w:tcPr>
          <w:p>
            <w:r/>
            <w:r>
              <w:rPr>
                <w:rFonts w:ascii="Times New Roman" w:hAnsi="Times New Roman"/>
                <w:b/>
                <w:sz w:val="20"/>
              </w:rPr>
              <w:t>Indicador</w:t>
            </w:r>
          </w:p>
        </w:tc>
        <w:tc>
          <w:tcPr>
            <w:tcW w:type="dxa" w:w="2340"/>
            <w:shd w:val="clear" w:color="auto" w:fill="D9E2F3"/>
          </w:tcPr>
          <w:p>
            <w:r/>
            <w:r>
              <w:rPr>
                <w:rFonts w:ascii="Times New Roman" w:hAnsi="Times New Roman"/>
                <w:b/>
                <w:sz w:val="20"/>
              </w:rPr>
              <w:t>Crudo</w:t>
            </w:r>
          </w:p>
        </w:tc>
        <w:tc>
          <w:tcPr>
            <w:tcW w:type="dxa" w:w="2340"/>
            <w:shd w:val="clear" w:color="auto" w:fill="D9E2F3"/>
          </w:tcPr>
          <w:p>
            <w:r/>
            <w:r>
              <w:rPr>
                <w:rFonts w:ascii="Times New Roman" w:hAnsi="Times New Roman"/>
                <w:b/>
                <w:sz w:val="20"/>
              </w:rPr>
              <w:t>Limpio</w:t>
            </w:r>
          </w:p>
        </w:tc>
        <w:tc>
          <w:tcPr>
            <w:tcW w:type="dxa" w:w="2340"/>
            <w:shd w:val="clear" w:color="auto" w:fill="D9E2F3"/>
          </w:tcPr>
          <w:p>
            <w:r/>
            <w:r>
              <w:rPr>
                <w:rFonts w:ascii="Times New Roman" w:hAnsi="Times New Roman"/>
                <w:b/>
                <w:sz w:val="20"/>
              </w:rPr>
              <w:t>Decisión</w:t>
            </w:r>
          </w:p>
        </w:tc>
      </w:tr>
      <w:tr>
        <w:tc>
          <w:tcPr>
            <w:tcW w:type="dxa" w:w="2340"/>
          </w:tcPr>
          <w:p>
            <w:r/>
            <w:r>
              <w:rPr>
                <w:rFonts w:ascii="Times New Roman" w:hAnsi="Times New Roman"/>
                <w:sz w:val="20"/>
              </w:rPr>
              <w:t>Filas</w:t>
            </w:r>
          </w:p>
        </w:tc>
        <w:tc>
          <w:tcPr>
            <w:tcW w:type="dxa" w:w="2340"/>
          </w:tcPr>
          <w:p>
            <w:r/>
            <w:r>
              <w:rPr>
                <w:rFonts w:ascii="Times New Roman" w:hAnsi="Times New Roman"/>
                <w:sz w:val="20"/>
              </w:rPr>
              <w:t>55.500</w:t>
            </w:r>
          </w:p>
        </w:tc>
        <w:tc>
          <w:tcPr>
            <w:tcW w:type="dxa" w:w="2340"/>
          </w:tcPr>
          <w:p>
            <w:r/>
            <w:r>
              <w:rPr>
                <w:rFonts w:ascii="Times New Roman" w:hAnsi="Times New Roman"/>
                <w:sz w:val="20"/>
              </w:rPr>
              <w:t>54.966</w:t>
            </w:r>
          </w:p>
        </w:tc>
        <w:tc>
          <w:tcPr>
            <w:tcW w:type="dxa" w:w="2340"/>
          </w:tcPr>
          <w:p>
            <w:r/>
            <w:r>
              <w:rPr>
                <w:rFonts w:ascii="Times New Roman" w:hAnsi="Times New Roman"/>
                <w:sz w:val="20"/>
              </w:rPr>
              <w:t>Eliminar 534 duplicados</w:t>
            </w:r>
          </w:p>
        </w:tc>
      </w:tr>
      <w:tr>
        <w:tc>
          <w:tcPr>
            <w:tcW w:type="dxa" w:w="2340"/>
          </w:tcPr>
          <w:p>
            <w:r/>
            <w:r>
              <w:rPr>
                <w:rFonts w:ascii="Times New Roman" w:hAnsi="Times New Roman"/>
                <w:sz w:val="20"/>
              </w:rPr>
              <w:t>Duplicados</w:t>
            </w:r>
          </w:p>
        </w:tc>
        <w:tc>
          <w:tcPr>
            <w:tcW w:type="dxa" w:w="2340"/>
          </w:tcPr>
          <w:p>
            <w:r/>
            <w:r>
              <w:rPr>
                <w:rFonts w:ascii="Times New Roman" w:hAnsi="Times New Roman"/>
                <w:sz w:val="20"/>
              </w:rPr>
              <w:t>534</w:t>
            </w:r>
          </w:p>
        </w:tc>
        <w:tc>
          <w:tcPr>
            <w:tcW w:type="dxa" w:w="2340"/>
          </w:tcPr>
          <w:p>
            <w:r/>
            <w:r>
              <w:rPr>
                <w:rFonts w:ascii="Times New Roman" w:hAnsi="Times New Roman"/>
                <w:sz w:val="20"/>
              </w:rPr>
              <w:t>0</w:t>
            </w:r>
          </w:p>
        </w:tc>
        <w:tc>
          <w:tcPr>
            <w:tcW w:type="dxa" w:w="2340"/>
          </w:tcPr>
          <w:p>
            <w:r/>
            <w:r>
              <w:rPr>
                <w:rFonts w:ascii="Times New Roman" w:hAnsi="Times New Roman"/>
                <w:sz w:val="20"/>
              </w:rPr>
              <w:t>drop_duplicates()</w:t>
            </w:r>
          </w:p>
        </w:tc>
      </w:tr>
      <w:tr>
        <w:tc>
          <w:tcPr>
            <w:tcW w:type="dxa" w:w="2340"/>
          </w:tcPr>
          <w:p>
            <w:r/>
            <w:r>
              <w:rPr>
                <w:rFonts w:ascii="Times New Roman" w:hAnsi="Times New Roman"/>
                <w:sz w:val="20"/>
              </w:rPr>
              <w:t>Nulos</w:t>
            </w:r>
          </w:p>
        </w:tc>
        <w:tc>
          <w:tcPr>
            <w:tcW w:type="dxa" w:w="2340"/>
          </w:tcPr>
          <w:p>
            <w:r/>
            <w:r>
              <w:rPr>
                <w:rFonts w:ascii="Times New Roman" w:hAnsi="Times New Roman"/>
                <w:sz w:val="20"/>
              </w:rPr>
              <w:t>0</w:t>
            </w:r>
          </w:p>
        </w:tc>
        <w:tc>
          <w:tcPr>
            <w:tcW w:type="dxa" w:w="2340"/>
          </w:tcPr>
          <w:p>
            <w:r/>
            <w:r>
              <w:rPr>
                <w:rFonts w:ascii="Times New Roman" w:hAnsi="Times New Roman"/>
                <w:sz w:val="20"/>
              </w:rPr>
              <w:t>0</w:t>
            </w:r>
          </w:p>
        </w:tc>
        <w:tc>
          <w:tcPr>
            <w:tcW w:type="dxa" w:w="2340"/>
          </w:tcPr>
          <w:p>
            <w:r/>
            <w:r>
              <w:rPr>
                <w:rFonts w:ascii="Times New Roman" w:hAnsi="Times New Roman"/>
                <w:sz w:val="20"/>
              </w:rPr>
              <w:t>Sin imputación requerida</w:t>
            </w:r>
          </w:p>
        </w:tc>
      </w:tr>
      <w:tr>
        <w:tc>
          <w:tcPr>
            <w:tcW w:type="dxa" w:w="2340"/>
          </w:tcPr>
          <w:p>
            <w:r/>
            <w:r>
              <w:rPr>
                <w:rFonts w:ascii="Times New Roman" w:hAnsi="Times New Roman"/>
                <w:sz w:val="20"/>
              </w:rPr>
              <w:t>Facturas negativas</w:t>
            </w:r>
          </w:p>
        </w:tc>
        <w:tc>
          <w:tcPr>
            <w:tcW w:type="dxa" w:w="2340"/>
          </w:tcPr>
          <w:p>
            <w:r/>
            <w:r>
              <w:rPr>
                <w:rFonts w:ascii="Times New Roman" w:hAnsi="Times New Roman"/>
                <w:sz w:val="20"/>
              </w:rPr>
              <w:t>108</w:t>
            </w:r>
          </w:p>
        </w:tc>
        <w:tc>
          <w:tcPr>
            <w:tcW w:type="dxa" w:w="2340"/>
          </w:tcPr>
          <w:p>
            <w:r/>
            <w:r>
              <w:rPr>
                <w:rFonts w:ascii="Times New Roman" w:hAnsi="Times New Roman"/>
                <w:sz w:val="20"/>
              </w:rPr>
              <w:t>106 marcadas</w:t>
            </w:r>
          </w:p>
        </w:tc>
        <w:tc>
          <w:tcPr>
            <w:tcW w:type="dxa" w:w="2340"/>
          </w:tcPr>
          <w:p>
            <w:r/>
            <w:r>
              <w:rPr>
                <w:rFonts w:ascii="Times New Roman" w:hAnsi="Times New Roman"/>
                <w:sz w:val="20"/>
              </w:rPr>
              <w:t>Marcar, no imputar (dato sensible)</w:t>
            </w:r>
          </w:p>
        </w:tc>
      </w:tr>
      <w:tr>
        <w:tc>
          <w:tcPr>
            <w:tcW w:type="dxa" w:w="2340"/>
          </w:tcPr>
          <w:p>
            <w:r/>
            <w:r>
              <w:rPr>
                <w:rFonts w:ascii="Times New Roman" w:hAnsi="Times New Roman"/>
                <w:sz w:val="20"/>
              </w:rPr>
              <w:t>Edades fuera de rango</w:t>
            </w:r>
          </w:p>
        </w:tc>
        <w:tc>
          <w:tcPr>
            <w:tcW w:type="dxa" w:w="2340"/>
          </w:tcPr>
          <w:p>
            <w:r/>
            <w:r>
              <w:rPr>
                <w:rFonts w:ascii="Times New Roman" w:hAnsi="Times New Roman"/>
                <w:sz w:val="20"/>
              </w:rPr>
              <w:t>0</w:t>
            </w:r>
          </w:p>
        </w:tc>
        <w:tc>
          <w:tcPr>
            <w:tcW w:type="dxa" w:w="2340"/>
          </w:tcPr>
          <w:p>
            <w:r/>
            <w:r>
              <w:rPr>
                <w:rFonts w:ascii="Times New Roman" w:hAnsi="Times New Roman"/>
                <w:sz w:val="20"/>
              </w:rPr>
              <w:t>0</w:t>
            </w:r>
          </w:p>
        </w:tc>
        <w:tc>
          <w:tcPr>
            <w:tcW w:type="dxa" w:w="2340"/>
          </w:tcPr>
          <w:p>
            <w:r/>
            <w:r>
              <w:rPr>
                <w:rFonts w:ascii="Times New Roman" w:hAnsi="Times New Roman"/>
                <w:sz w:val="20"/>
              </w:rPr>
              <w:t>Sin acción</w:t>
            </w:r>
          </w:p>
        </w:tc>
      </w:tr>
      <w:tr>
        <w:tc>
          <w:tcPr>
            <w:tcW w:type="dxa" w:w="2340"/>
          </w:tcPr>
          <w:p>
            <w:r/>
            <w:r>
              <w:rPr>
                <w:rFonts w:ascii="Times New Roman" w:hAnsi="Times New Roman"/>
                <w:sz w:val="20"/>
              </w:rPr>
              <w:t>Outliers (IQR)</w:t>
            </w:r>
          </w:p>
        </w:tc>
        <w:tc>
          <w:tcPr>
            <w:tcW w:type="dxa" w:w="2340"/>
          </w:tcPr>
          <w:p>
            <w:r/>
            <w:r>
              <w:rPr>
                <w:rFonts w:ascii="Times New Roman" w:hAnsi="Times New Roman"/>
                <w:sz w:val="20"/>
              </w:rPr>
              <w:t>0</w:t>
            </w:r>
          </w:p>
        </w:tc>
        <w:tc>
          <w:tcPr>
            <w:tcW w:type="dxa" w:w="2340"/>
          </w:tcPr>
          <w:p>
            <w:r/>
            <w:r>
              <w:rPr>
                <w:rFonts w:ascii="Times New Roman" w:hAnsi="Times New Roman"/>
                <w:sz w:val="20"/>
              </w:rPr>
              <w:t>0</w:t>
            </w:r>
          </w:p>
        </w:tc>
        <w:tc>
          <w:tcPr>
            <w:tcW w:type="dxa" w:w="2340"/>
          </w:tcPr>
          <w:p>
            <w:r/>
            <w:r>
              <w:rPr>
                <w:rFonts w:ascii="Times New Roman" w:hAnsi="Times New Roman"/>
                <w:sz w:val="20"/>
              </w:rPr>
              <w:t>Sin eliminación</w:t>
            </w:r>
          </w:p>
        </w:tc>
      </w:tr>
    </w:tbl>
    <w:p>
      <w:pPr>
        <w:spacing w:line="240" w:lineRule="auto" w:after="240"/>
        <w:ind w:firstLine="0"/>
        <w:jc w:val="left"/>
      </w:pPr>
      <w:r>
        <w:rPr>
          <w:rFonts w:ascii="Times New Roman" w:hAnsi="Times New Roman"/>
          <w:i/>
          <w:sz w:val="20"/>
        </w:rPr>
        <w:t xml:space="preserve">Nota. </w:t>
      </w:r>
      <w:r>
        <w:rPr>
          <w:rFonts w:ascii="Times New Roman" w:hAnsi="Times New Roman"/>
          <w:i/>
          <w:sz w:val="20"/>
        </w:rPr>
        <w:t>Elaboración propia a partir del pipeline de limpieza (src/).</w:t>
      </w:r>
    </w:p>
    <w:p>
      <w:pPr>
        <w:spacing w:line="480" w:lineRule="auto" w:after="0"/>
        <w:ind w:firstLine="720"/>
      </w:pPr>
      <w:r>
        <w:rPr>
          <w:rFonts w:ascii="Times New Roman" w:hAnsi="Times New Roman"/>
          <w:b w:val="0"/>
          <w:i w:val="0"/>
          <w:sz w:val="24"/>
        </w:rPr>
        <w:t>Nulos: no se encontraron valores faltantes en ninguna de las 16 variables, por lo que no fue necesaria imputación.</w:t>
      </w:r>
    </w:p>
    <w:p>
      <w:pPr>
        <w:spacing w:line="480" w:lineRule="auto" w:after="0"/>
        <w:ind w:firstLine="720"/>
      </w:pPr>
      <w:r>
        <w:rPr>
          <w:rFonts w:ascii="Times New Roman" w:hAnsi="Times New Roman"/>
          <w:b w:val="0"/>
          <w:i w:val="0"/>
          <w:sz w:val="24"/>
        </w:rPr>
        <w:t>Duplicados: se detectaron 534 filas duplicadas en el crudo y se eliminaron antes de las cuentas posteriores, para no sesgar el diagnóstico.</w:t>
      </w:r>
    </w:p>
    <w:p>
      <w:pPr>
        <w:spacing w:line="480" w:lineRule="auto" w:after="0"/>
        <w:ind w:firstLine="720"/>
      </w:pPr>
      <w:r>
        <w:rPr>
          <w:rFonts w:ascii="Times New Roman" w:hAnsi="Times New Roman"/>
          <w:b w:val="0"/>
          <w:i w:val="0"/>
          <w:sz w:val="24"/>
        </w:rPr>
        <w:t>Outliers (IQR): aplicando la regla 1,5·IQR sobre Age y Billing Amount (excluyendo facturas negativas) no se detectaron valores fuera de rango. Age oscila entre 13 y 89 años; Billing Amount entre -2.008,49 y 52.764,28 USD.</w:t>
      </w:r>
    </w:p>
    <w:p>
      <w:pPr>
        <w:spacing w:line="480" w:lineRule="auto" w:after="0"/>
        <w:ind w:firstLine="720"/>
      </w:pPr>
      <w:r>
        <w:rPr>
          <w:rFonts w:ascii="Times New Roman" w:hAnsi="Times New Roman"/>
          <w:b w:val="0"/>
          <w:i w:val="0"/>
          <w:sz w:val="24"/>
        </w:rPr>
        <w:t>Facturas negativas: 106 registros presentan monto de facturación negativo. Se marcan en la variable Factura_Negativa sin modificar el monto original, por tratarse de dinero (dato sensible) y para no inventar valores.</w:t>
      </w:r>
    </w:p>
    <w:p>
      <w:pPr>
        <w:spacing w:before="240" w:after="120" w:line="480" w:lineRule="auto"/>
        <w:ind w:firstLine="0"/>
        <w:jc w:val="center"/>
      </w:pPr>
      <w:r>
        <w:rPr>
          <w:rFonts w:ascii="Times New Roman" w:hAnsi="Times New Roman"/>
          <w:b/>
          <w:i w:val="0"/>
          <w:sz w:val="24"/>
        </w:rPr>
        <w:t>3. Análisis Univariado</w:t>
      </w:r>
    </w:p>
    <w:p>
      <w:pPr>
        <w:spacing w:line="480" w:lineRule="auto" w:after="0"/>
        <w:ind w:firstLine="720"/>
      </w:pPr>
      <w:r>
        <w:rPr>
          <w:rFonts w:ascii="Times New Roman" w:hAnsi="Times New Roman"/>
          <w:b w:val="0"/>
          <w:i w:val="0"/>
          <w:sz w:val="24"/>
        </w:rPr>
        <w:t>Se presentan las estadísticas descriptivas de las variables numéricas principales y cuatro figuras interpretadas.</w:t>
      </w:r>
    </w:p>
    <w:p>
      <w:pPr>
        <w:spacing w:before="120" w:line="240" w:lineRule="auto"/>
        <w:ind w:firstLine="0"/>
        <w:jc w:val="left"/>
      </w:pPr>
      <w:r>
        <w:rPr>
          <w:rFonts w:ascii="Times New Roman" w:hAnsi="Times New Roman"/>
          <w:b/>
          <w:sz w:val="24"/>
        </w:rPr>
        <w:t>Tabla 2</w:t>
      </w:r>
    </w:p>
    <w:p>
      <w:pPr>
        <w:spacing w:line="240" w:lineRule="auto" w:after="80"/>
        <w:ind w:firstLine="0"/>
        <w:jc w:val="left"/>
      </w:pPr>
      <w:r>
        <w:rPr>
          <w:rFonts w:ascii="Times New Roman" w:hAnsi="Times New Roman"/>
          <w:i/>
          <w:sz w:val="24"/>
        </w:rPr>
        <w:t>Estadísticas descriptivas de variables numéricas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D9E2F3"/>
          </w:tcPr>
          <w:p>
            <w:r/>
            <w:r>
              <w:rPr>
                <w:rFonts w:ascii="Times New Roman" w:hAnsi="Times New Roman"/>
                <w:b/>
                <w:sz w:val="20"/>
              </w:rPr>
              <w:t>Variable</w:t>
            </w:r>
          </w:p>
        </w:tc>
        <w:tc>
          <w:tcPr>
            <w:tcW w:type="dxa" w:w="1560"/>
            <w:shd w:val="clear" w:color="auto" w:fill="D9E2F3"/>
          </w:tcPr>
          <w:p>
            <w:r/>
            <w:r>
              <w:rPr>
                <w:rFonts w:ascii="Times New Roman" w:hAnsi="Times New Roman"/>
                <w:b/>
                <w:sz w:val="20"/>
              </w:rPr>
              <w:t>n</w:t>
            </w:r>
          </w:p>
        </w:tc>
        <w:tc>
          <w:tcPr>
            <w:tcW w:type="dxa" w:w="1560"/>
            <w:shd w:val="clear" w:color="auto" w:fill="D9E2F3"/>
          </w:tcPr>
          <w:p>
            <w:r/>
            <w:r>
              <w:rPr>
                <w:rFonts w:ascii="Times New Roman" w:hAnsi="Times New Roman"/>
                <w:b/>
                <w:sz w:val="20"/>
              </w:rPr>
              <w:t>Media</w:t>
            </w:r>
          </w:p>
        </w:tc>
        <w:tc>
          <w:tcPr>
            <w:tcW w:type="dxa" w:w="1560"/>
            <w:shd w:val="clear" w:color="auto" w:fill="D9E2F3"/>
          </w:tcPr>
          <w:p>
            <w:r/>
            <w:r>
              <w:rPr>
                <w:rFonts w:ascii="Times New Roman" w:hAnsi="Times New Roman"/>
                <w:b/>
                <w:sz w:val="20"/>
              </w:rPr>
              <w:t>Desv. estándar</w:t>
            </w:r>
          </w:p>
        </w:tc>
        <w:tc>
          <w:tcPr>
            <w:tcW w:type="dxa" w:w="1560"/>
            <w:shd w:val="clear" w:color="auto" w:fill="D9E2F3"/>
          </w:tcPr>
          <w:p>
            <w:r/>
            <w:r>
              <w:rPr>
                <w:rFonts w:ascii="Times New Roman" w:hAnsi="Times New Roman"/>
                <w:b/>
                <w:sz w:val="20"/>
              </w:rPr>
              <w:t>Mín.</w:t>
            </w:r>
          </w:p>
        </w:tc>
        <w:tc>
          <w:tcPr>
            <w:tcW w:type="dxa" w:w="1560"/>
            <w:shd w:val="clear" w:color="auto" w:fill="D9E2F3"/>
          </w:tcPr>
          <w:p>
            <w:r/>
            <w:r>
              <w:rPr>
                <w:rFonts w:ascii="Times New Roman" w:hAnsi="Times New Roman"/>
                <w:b/>
                <w:sz w:val="20"/>
              </w:rPr>
              <w:t>Máx.</w:t>
            </w:r>
          </w:p>
        </w:tc>
      </w:tr>
      <w:tr>
        <w:tc>
          <w:tcPr>
            <w:tcW w:type="dxa" w:w="1560"/>
          </w:tcPr>
          <w:p>
            <w:r/>
            <w:r>
              <w:rPr>
                <w:rFonts w:ascii="Times New Roman" w:hAnsi="Times New Roman"/>
                <w:sz w:val="20"/>
              </w:rPr>
              <w:t>Edad (años)</w:t>
            </w:r>
          </w:p>
        </w:tc>
        <w:tc>
          <w:tcPr>
            <w:tcW w:type="dxa" w:w="1560"/>
          </w:tcPr>
          <w:p>
            <w:r/>
            <w:r>
              <w:rPr>
                <w:rFonts w:ascii="Times New Roman" w:hAnsi="Times New Roman"/>
                <w:sz w:val="20"/>
              </w:rPr>
              <w:t>54.966</w:t>
            </w:r>
          </w:p>
        </w:tc>
        <w:tc>
          <w:tcPr>
            <w:tcW w:type="dxa" w:w="1560"/>
          </w:tcPr>
          <w:p>
            <w:r/>
            <w:r>
              <w:rPr>
                <w:rFonts w:ascii="Times New Roman" w:hAnsi="Times New Roman"/>
                <w:sz w:val="20"/>
              </w:rPr>
              <w:t>51,54</w:t>
            </w:r>
          </w:p>
        </w:tc>
        <w:tc>
          <w:tcPr>
            <w:tcW w:type="dxa" w:w="1560"/>
          </w:tcPr>
          <w:p>
            <w:r/>
            <w:r>
              <w:rPr>
                <w:rFonts w:ascii="Times New Roman" w:hAnsi="Times New Roman"/>
                <w:sz w:val="20"/>
              </w:rPr>
              <w:t>19,61</w:t>
            </w:r>
          </w:p>
        </w:tc>
        <w:tc>
          <w:tcPr>
            <w:tcW w:type="dxa" w:w="1560"/>
          </w:tcPr>
          <w:p>
            <w:r/>
            <w:r>
              <w:rPr>
                <w:rFonts w:ascii="Times New Roman" w:hAnsi="Times New Roman"/>
                <w:sz w:val="20"/>
              </w:rPr>
              <w:t>13</w:t>
            </w:r>
          </w:p>
        </w:tc>
        <w:tc>
          <w:tcPr>
            <w:tcW w:type="dxa" w:w="1560"/>
          </w:tcPr>
          <w:p>
            <w:r/>
            <w:r>
              <w:rPr>
                <w:rFonts w:ascii="Times New Roman" w:hAnsi="Times New Roman"/>
                <w:sz w:val="20"/>
              </w:rPr>
              <w:t>89</w:t>
            </w:r>
          </w:p>
        </w:tc>
      </w:tr>
      <w:tr>
        <w:tc>
          <w:tcPr>
            <w:tcW w:type="dxa" w:w="1560"/>
          </w:tcPr>
          <w:p>
            <w:r/>
            <w:r>
              <w:rPr>
                <w:rFonts w:ascii="Times New Roman" w:hAnsi="Times New Roman"/>
                <w:sz w:val="20"/>
              </w:rPr>
              <w:t>Monto de facturación (USD)</w:t>
            </w:r>
          </w:p>
        </w:tc>
        <w:tc>
          <w:tcPr>
            <w:tcW w:type="dxa" w:w="1560"/>
          </w:tcPr>
          <w:p>
            <w:r/>
            <w:r>
              <w:rPr>
                <w:rFonts w:ascii="Times New Roman" w:hAnsi="Times New Roman"/>
                <w:sz w:val="20"/>
              </w:rPr>
              <w:t>54.966</w:t>
            </w:r>
          </w:p>
        </w:tc>
        <w:tc>
          <w:tcPr>
            <w:tcW w:type="dxa" w:w="1560"/>
          </w:tcPr>
          <w:p>
            <w:r/>
            <w:r>
              <w:rPr>
                <w:rFonts w:ascii="Times New Roman" w:hAnsi="Times New Roman"/>
                <w:sz w:val="20"/>
              </w:rPr>
              <w:t>25.544,31</w:t>
            </w:r>
          </w:p>
        </w:tc>
        <w:tc>
          <w:tcPr>
            <w:tcW w:type="dxa" w:w="1560"/>
          </w:tcPr>
          <w:p>
            <w:r/>
            <w:r>
              <w:rPr>
                <w:rFonts w:ascii="Times New Roman" w:hAnsi="Times New Roman"/>
                <w:sz w:val="20"/>
              </w:rPr>
              <w:t>14.208,41</w:t>
            </w:r>
          </w:p>
        </w:tc>
        <w:tc>
          <w:tcPr>
            <w:tcW w:type="dxa" w:w="1560"/>
          </w:tcPr>
          <w:p>
            <w:r/>
            <w:r>
              <w:rPr>
                <w:rFonts w:ascii="Times New Roman" w:hAnsi="Times New Roman"/>
                <w:sz w:val="20"/>
              </w:rPr>
              <w:t>-2.008,49</w:t>
            </w:r>
          </w:p>
        </w:tc>
        <w:tc>
          <w:tcPr>
            <w:tcW w:type="dxa" w:w="1560"/>
          </w:tcPr>
          <w:p>
            <w:r/>
            <w:r>
              <w:rPr>
                <w:rFonts w:ascii="Times New Roman" w:hAnsi="Times New Roman"/>
                <w:sz w:val="20"/>
              </w:rPr>
              <w:t>52.764,28</w:t>
            </w:r>
          </w:p>
        </w:tc>
      </w:tr>
      <w:tr>
        <w:tc>
          <w:tcPr>
            <w:tcW w:type="dxa" w:w="1560"/>
          </w:tcPr>
          <w:p>
            <w:r/>
            <w:r>
              <w:rPr>
                <w:rFonts w:ascii="Times New Roman" w:hAnsi="Times New Roman"/>
                <w:sz w:val="20"/>
              </w:rPr>
              <w:t>Duración de estancia (días)</w:t>
            </w:r>
          </w:p>
        </w:tc>
        <w:tc>
          <w:tcPr>
            <w:tcW w:type="dxa" w:w="1560"/>
          </w:tcPr>
          <w:p>
            <w:r/>
            <w:r>
              <w:rPr>
                <w:rFonts w:ascii="Times New Roman" w:hAnsi="Times New Roman"/>
                <w:sz w:val="20"/>
              </w:rPr>
              <w:t>54.966</w:t>
            </w:r>
          </w:p>
        </w:tc>
        <w:tc>
          <w:tcPr>
            <w:tcW w:type="dxa" w:w="1560"/>
          </w:tcPr>
          <w:p>
            <w:r/>
            <w:r>
              <w:rPr>
                <w:rFonts w:ascii="Times New Roman" w:hAnsi="Times New Roman"/>
                <w:sz w:val="20"/>
              </w:rPr>
              <w:t>15,50</w:t>
            </w:r>
          </w:p>
        </w:tc>
        <w:tc>
          <w:tcPr>
            <w:tcW w:type="dxa" w:w="1560"/>
          </w:tcPr>
          <w:p>
            <w:r/>
            <w:r>
              <w:rPr>
                <w:rFonts w:ascii="Times New Roman" w:hAnsi="Times New Roman"/>
                <w:sz w:val="20"/>
              </w:rPr>
              <w:t>8,66</w:t>
            </w:r>
          </w:p>
        </w:tc>
        <w:tc>
          <w:tcPr>
            <w:tcW w:type="dxa" w:w="1560"/>
          </w:tcPr>
          <w:p>
            <w:r/>
            <w:r>
              <w:rPr>
                <w:rFonts w:ascii="Times New Roman" w:hAnsi="Times New Roman"/>
                <w:sz w:val="20"/>
              </w:rPr>
              <w:t>1</w:t>
            </w:r>
          </w:p>
        </w:tc>
        <w:tc>
          <w:tcPr>
            <w:tcW w:type="dxa" w:w="1560"/>
          </w:tcPr>
          <w:p>
            <w:r/>
            <w:r>
              <w:rPr>
                <w:rFonts w:ascii="Times New Roman" w:hAnsi="Times New Roman"/>
                <w:sz w:val="20"/>
              </w:rPr>
              <w:t>30</w:t>
            </w:r>
          </w:p>
        </w:tc>
      </w:tr>
    </w:tbl>
    <w:p>
      <w:pPr>
        <w:spacing w:line="240" w:lineRule="auto" w:after="240"/>
        <w:ind w:firstLine="0"/>
        <w:jc w:val="left"/>
      </w:pPr>
      <w:r>
        <w:rPr>
          <w:rFonts w:ascii="Times New Roman" w:hAnsi="Times New Roman"/>
          <w:i/>
          <w:sz w:val="20"/>
        </w:rPr>
        <w:t xml:space="preserve">Nota. </w:t>
      </w:r>
      <w:r>
        <w:rPr>
          <w:rFonts w:ascii="Times New Roman" w:hAnsi="Times New Roman"/>
          <w:i/>
          <w:sz w:val="20"/>
        </w:rPr>
        <w:t>Elaboración propia. La duración de estancia se deriva como diferencia entre fecha de alta y fecha de admisión.</w:t>
      </w:r>
    </w:p>
    <w:p>
      <w:pPr>
        <w:spacing w:before="120" w:line="240" w:lineRule="auto"/>
        <w:ind w:firstLine="0"/>
        <w:jc w:val="center"/>
      </w:pPr>
      <w:r>
        <w:rPr>
          <w:rFonts w:ascii="Times New Roman" w:hAnsi="Times New Roman"/>
          <w:b w:val="0"/>
          <w:i/>
          <w:sz w:val="24"/>
        </w:rPr>
        <w:t>Figura 1</w:t>
      </w:r>
    </w:p>
    <w:p>
      <w:pPr>
        <w:spacing w:line="240" w:lineRule="auto" w:after="80"/>
        <w:ind w:firstLine="0"/>
        <w:jc w:val="center"/>
      </w:pPr>
      <w:r>
        <w:rPr>
          <w:rFonts w:ascii="Times New Roman" w:hAnsi="Times New Roman"/>
          <w:i/>
          <w:sz w:val="24"/>
        </w:rPr>
        <w:t>Distribución de la edad de los pacientes.</w:t>
      </w:r>
    </w:p>
    <w:p>
      <w:pPr>
        <w:jc w:val="center"/>
      </w:pPr>
      <w:r>
        <w:drawing>
          <wp:inline xmlns:a="http://schemas.openxmlformats.org/drawingml/2006/main" xmlns:pic="http://schemas.openxmlformats.org/drawingml/2006/picture">
            <wp:extent cx="5486400" cy="3135086"/>
            <wp:docPr id="1" name="Picture 1"/>
            <wp:cNvGraphicFramePr>
              <a:graphicFrameLocks noChangeAspect="1"/>
            </wp:cNvGraphicFramePr>
            <a:graphic>
              <a:graphicData uri="http://schemas.openxmlformats.org/drawingml/2006/picture">
                <pic:pic>
                  <pic:nvPicPr>
                    <pic:cNvPr id="0" name="fig1_edad.png"/>
                    <pic:cNvPicPr/>
                  </pic:nvPicPr>
                  <pic:blipFill>
                    <a:blip r:embed="rId9"/>
                    <a:stretch>
                      <a:fillRect/>
                    </a:stretch>
                  </pic:blipFill>
                  <pic:spPr>
                    <a:xfrm>
                      <a:off x="0" y="0"/>
                      <a:ext cx="5486400" cy="3135086"/>
                    </a:xfrm>
                    <a:prstGeom prst="rect"/>
                  </pic:spPr>
                </pic:pic>
              </a:graphicData>
            </a:graphic>
          </wp:inline>
        </w:drawing>
      </w:r>
    </w:p>
    <w:p>
      <w:pPr>
        <w:spacing w:line="240" w:lineRule="auto" w:after="240"/>
        <w:ind w:firstLine="0"/>
        <w:jc w:val="left"/>
      </w:pPr>
      <w:r>
        <w:rPr>
          <w:rFonts w:ascii="Times New Roman" w:hAnsi="Times New Roman"/>
          <w:i/>
          <w:sz w:val="20"/>
        </w:rPr>
        <w:t xml:space="preserve">Nota. </w:t>
      </w:r>
      <w:r>
        <w:rPr>
          <w:rFonts w:ascii="Times New Roman" w:hAnsi="Times New Roman"/>
          <w:i/>
          <w:sz w:val="20"/>
        </w:rPr>
        <w:t>La edad se distribuye de forma aproximadamente uniforme entre los 13 y 89 años, sin concentración en un grupo etario específico, lo que indica una muestra balanceada por edad.</w:t>
      </w:r>
    </w:p>
    <w:p>
      <w:pPr>
        <w:spacing w:before="120" w:line="240" w:lineRule="auto"/>
        <w:ind w:firstLine="0"/>
        <w:jc w:val="center"/>
      </w:pPr>
      <w:r>
        <w:rPr>
          <w:rFonts w:ascii="Times New Roman" w:hAnsi="Times New Roman"/>
          <w:b w:val="0"/>
          <w:i/>
          <w:sz w:val="24"/>
        </w:rPr>
        <w:t>Figura 2</w:t>
      </w:r>
    </w:p>
    <w:p>
      <w:pPr>
        <w:spacing w:line="240" w:lineRule="auto" w:after="80"/>
        <w:ind w:firstLine="0"/>
        <w:jc w:val="center"/>
      </w:pPr>
      <w:r>
        <w:rPr>
          <w:rFonts w:ascii="Times New Roman" w:hAnsi="Times New Roman"/>
          <w:i/>
          <w:sz w:val="24"/>
        </w:rPr>
        <w:t>Distribución del monto de facturación.</w:t>
      </w:r>
    </w:p>
    <w:p>
      <w:pPr>
        <w:jc w:val="center"/>
      </w:pPr>
      <w:r>
        <w:drawing>
          <wp:inline xmlns:a="http://schemas.openxmlformats.org/drawingml/2006/main" xmlns:pic="http://schemas.openxmlformats.org/drawingml/2006/picture">
            <wp:extent cx="5486400" cy="3135086"/>
            <wp:docPr id="2" name="Picture 2"/>
            <wp:cNvGraphicFramePr>
              <a:graphicFrameLocks noChangeAspect="1"/>
            </wp:cNvGraphicFramePr>
            <a:graphic>
              <a:graphicData uri="http://schemas.openxmlformats.org/drawingml/2006/picture">
                <pic:pic>
                  <pic:nvPicPr>
                    <pic:cNvPr id="0" name="fig2_billing.png"/>
                    <pic:cNvPicPr/>
                  </pic:nvPicPr>
                  <pic:blipFill>
                    <a:blip r:embed="rId10"/>
                    <a:stretch>
                      <a:fillRect/>
                    </a:stretch>
                  </pic:blipFill>
                  <pic:spPr>
                    <a:xfrm>
                      <a:off x="0" y="0"/>
                      <a:ext cx="5486400" cy="3135086"/>
                    </a:xfrm>
                    <a:prstGeom prst="rect"/>
                  </pic:spPr>
                </pic:pic>
              </a:graphicData>
            </a:graphic>
          </wp:inline>
        </w:drawing>
      </w:r>
    </w:p>
    <w:p>
      <w:pPr>
        <w:spacing w:line="240" w:lineRule="auto" w:after="240"/>
        <w:ind w:firstLine="0"/>
        <w:jc w:val="left"/>
      </w:pPr>
      <w:r>
        <w:rPr>
          <w:rFonts w:ascii="Times New Roman" w:hAnsi="Times New Roman"/>
          <w:i/>
          <w:sz w:val="20"/>
        </w:rPr>
        <w:t xml:space="preserve">Nota. </w:t>
      </w:r>
      <w:r>
        <w:rPr>
          <w:rFonts w:ascii="Times New Roman" w:hAnsi="Times New Roman"/>
          <w:i/>
          <w:sz w:val="20"/>
        </w:rPr>
        <w:t>El monto de facturación presenta una distribución aproximadamente uniforme entre 0 y 52.764 USD, con media de 25.544 USD. No se observa sesgo marcado ni valores extremos (outliers IQR = 0).</w:t>
      </w:r>
    </w:p>
    <w:p>
      <w:pPr>
        <w:spacing w:line="480" w:lineRule="auto" w:after="0"/>
        <w:ind w:firstLine="720"/>
      </w:pPr>
      <w:r>
        <w:rPr>
          <w:rFonts w:ascii="Times New Roman" w:hAnsi="Times New Roman"/>
          <w:b w:val="0"/>
          <w:i w:val="0"/>
          <w:sz w:val="24"/>
        </w:rPr>
        <w:t>Las condiciones médicas se distribuyen de forma equilibrada: Arthritis (9.218), Diabetes (9.216), Hypertension (9.151), Obesity (9.146), Cancer (9.140) y Asthma (9.095). Los tipos de admisión son Elective (18.473), Urgent (18.391) y Emergency (18.102), también balanceados. Los resultados de prueba se reparten entre Abnormal (18.437), Normal (18.331) e Inconclusive (18.198). El género es prácticamente paritario (Male 27.496, Female 27.470).</w:t>
      </w:r>
    </w:p>
    <w:p>
      <w:pPr>
        <w:spacing w:before="120" w:line="240" w:lineRule="auto"/>
        <w:ind w:firstLine="0"/>
        <w:jc w:val="center"/>
      </w:pPr>
      <w:r>
        <w:rPr>
          <w:rFonts w:ascii="Times New Roman" w:hAnsi="Times New Roman"/>
          <w:b w:val="0"/>
          <w:i/>
          <w:sz w:val="24"/>
        </w:rPr>
        <w:t>Figura 3</w:t>
      </w:r>
    </w:p>
    <w:p>
      <w:pPr>
        <w:spacing w:line="240" w:lineRule="auto" w:after="80"/>
        <w:ind w:firstLine="0"/>
        <w:jc w:val="center"/>
      </w:pPr>
      <w:r>
        <w:rPr>
          <w:rFonts w:ascii="Times New Roman" w:hAnsi="Times New Roman"/>
          <w:i/>
          <w:sz w:val="24"/>
        </w:rPr>
        <w:t>Frecuencia de condiciones médicas.</w:t>
      </w:r>
    </w:p>
    <w:p>
      <w:pPr>
        <w:jc w:val="center"/>
      </w:pPr>
      <w:r>
        <w:drawing>
          <wp:inline xmlns:a="http://schemas.openxmlformats.org/drawingml/2006/main" xmlns:pic="http://schemas.openxmlformats.org/drawingml/2006/picture">
            <wp:extent cx="5486400" cy="3135086"/>
            <wp:docPr id="3" name="Picture 3"/>
            <wp:cNvGraphicFramePr>
              <a:graphicFrameLocks noChangeAspect="1"/>
            </wp:cNvGraphicFramePr>
            <a:graphic>
              <a:graphicData uri="http://schemas.openxmlformats.org/drawingml/2006/picture">
                <pic:pic>
                  <pic:nvPicPr>
                    <pic:cNvPr id="0" name="fig3_condicion.png"/>
                    <pic:cNvPicPr/>
                  </pic:nvPicPr>
                  <pic:blipFill>
                    <a:blip r:embed="rId11"/>
                    <a:stretch>
                      <a:fillRect/>
                    </a:stretch>
                  </pic:blipFill>
                  <pic:spPr>
                    <a:xfrm>
                      <a:off x="0" y="0"/>
                      <a:ext cx="5486400" cy="3135086"/>
                    </a:xfrm>
                    <a:prstGeom prst="rect"/>
                  </pic:spPr>
                </pic:pic>
              </a:graphicData>
            </a:graphic>
          </wp:inline>
        </w:drawing>
      </w:r>
    </w:p>
    <w:p>
      <w:pPr>
        <w:spacing w:line="240" w:lineRule="auto" w:after="240"/>
        <w:ind w:firstLine="0"/>
        <w:jc w:val="left"/>
      </w:pPr>
      <w:r>
        <w:rPr>
          <w:rFonts w:ascii="Times New Roman" w:hAnsi="Times New Roman"/>
          <w:i/>
          <w:sz w:val="20"/>
        </w:rPr>
        <w:t xml:space="preserve">Nota. </w:t>
      </w:r>
      <w:r>
        <w:rPr>
          <w:rFonts w:ascii="Times New Roman" w:hAnsi="Times New Roman"/>
          <w:i/>
          <w:sz w:val="20"/>
        </w:rPr>
        <w:t>Las seis condiciones médicas tienen frecuencias similares (~9.000 casos cada una), lo que refleja un diseño balanceado del dataset y evita sesgos por categoría.</w:t>
      </w:r>
    </w:p>
    <w:p>
      <w:pPr>
        <w:spacing w:before="120" w:line="240" w:lineRule="auto"/>
        <w:ind w:firstLine="0"/>
        <w:jc w:val="center"/>
      </w:pPr>
      <w:r>
        <w:rPr>
          <w:rFonts w:ascii="Times New Roman" w:hAnsi="Times New Roman"/>
          <w:b w:val="0"/>
          <w:i/>
          <w:sz w:val="24"/>
        </w:rPr>
        <w:t>Figura 4</w:t>
      </w:r>
    </w:p>
    <w:p>
      <w:pPr>
        <w:spacing w:line="240" w:lineRule="auto" w:after="80"/>
        <w:ind w:firstLine="0"/>
        <w:jc w:val="center"/>
      </w:pPr>
      <w:r>
        <w:rPr>
          <w:rFonts w:ascii="Times New Roman" w:hAnsi="Times New Roman"/>
          <w:i/>
          <w:sz w:val="24"/>
        </w:rPr>
        <w:t>Frecuencia por tipo de admisión.</w:t>
      </w:r>
    </w:p>
    <w:p>
      <w:pPr>
        <w:jc w:val="center"/>
      </w:pPr>
      <w:r>
        <w:drawing>
          <wp:inline xmlns:a="http://schemas.openxmlformats.org/drawingml/2006/main" xmlns:pic="http://schemas.openxmlformats.org/drawingml/2006/picture">
            <wp:extent cx="5486400" cy="3657600"/>
            <wp:docPr id="4" name="Picture 4"/>
            <wp:cNvGraphicFramePr>
              <a:graphicFrameLocks noChangeAspect="1"/>
            </wp:cNvGraphicFramePr>
            <a:graphic>
              <a:graphicData uri="http://schemas.openxmlformats.org/drawingml/2006/picture">
                <pic:pic>
                  <pic:nvPicPr>
                    <pic:cNvPr id="0" name="fig4_admision.png"/>
                    <pic:cNvPicPr/>
                  </pic:nvPicPr>
                  <pic:blipFill>
                    <a:blip r:embed="rId12"/>
                    <a:stretch>
                      <a:fillRect/>
                    </a:stretch>
                  </pic:blipFill>
                  <pic:spPr>
                    <a:xfrm>
                      <a:off x="0" y="0"/>
                      <a:ext cx="5486400" cy="3657600"/>
                    </a:xfrm>
                    <a:prstGeom prst="rect"/>
                  </pic:spPr>
                </pic:pic>
              </a:graphicData>
            </a:graphic>
          </wp:inline>
        </w:drawing>
      </w:r>
    </w:p>
    <w:p>
      <w:pPr>
        <w:spacing w:line="240" w:lineRule="auto" w:after="240"/>
        <w:ind w:firstLine="0"/>
        <w:jc w:val="left"/>
      </w:pPr>
      <w:r>
        <w:rPr>
          <w:rFonts w:ascii="Times New Roman" w:hAnsi="Times New Roman"/>
          <w:i/>
          <w:sz w:val="20"/>
        </w:rPr>
        <w:t xml:space="preserve">Nota. </w:t>
      </w:r>
      <w:r>
        <w:rPr>
          <w:rFonts w:ascii="Times New Roman" w:hAnsi="Times New Roman"/>
          <w:i/>
          <w:sz w:val="20"/>
        </w:rPr>
        <w:t>Los tres tipos de admisión (Elective, Urgent, Emergency) se presentan con frecuencias casi idénticas, lo que facilita comparaciones entre grupos.</w:t>
      </w:r>
    </w:p>
    <w:p>
      <w:pPr>
        <w:spacing w:before="240" w:after="120" w:line="480" w:lineRule="auto"/>
        <w:ind w:firstLine="0"/>
        <w:jc w:val="center"/>
      </w:pPr>
      <w:r>
        <w:rPr>
          <w:rFonts w:ascii="Times New Roman" w:hAnsi="Times New Roman"/>
          <w:b/>
          <w:i w:val="0"/>
          <w:sz w:val="24"/>
        </w:rPr>
        <w:t>4. Análisis Bivariado y Multivariado</w:t>
      </w:r>
    </w:p>
    <w:p>
      <w:pPr>
        <w:spacing w:line="480" w:lineRule="auto" w:after="0"/>
        <w:ind w:firstLine="720"/>
      </w:pPr>
      <w:r>
        <w:rPr>
          <w:rFonts w:ascii="Times New Roman" w:hAnsi="Times New Roman"/>
          <w:b w:val="0"/>
          <w:i w:val="0"/>
          <w:sz w:val="24"/>
        </w:rPr>
        <w:t>Se examinan las correlaciones entre variables numéricas y los cruces de la variable objetivo (Billing Amount) con variables categóricas.</w:t>
      </w:r>
    </w:p>
    <w:p>
      <w:pPr>
        <w:spacing w:before="120" w:line="240" w:lineRule="auto"/>
        <w:ind w:firstLine="0"/>
        <w:jc w:val="center"/>
      </w:pPr>
      <w:r>
        <w:rPr>
          <w:rFonts w:ascii="Times New Roman" w:hAnsi="Times New Roman"/>
          <w:b w:val="0"/>
          <w:i/>
          <w:sz w:val="24"/>
        </w:rPr>
        <w:t>Figura 5</w:t>
      </w:r>
    </w:p>
    <w:p>
      <w:pPr>
        <w:spacing w:line="240" w:lineRule="auto" w:after="80"/>
        <w:ind w:firstLine="0"/>
        <w:jc w:val="center"/>
      </w:pPr>
      <w:r>
        <w:rPr>
          <w:rFonts w:ascii="Times New Roman" w:hAnsi="Times New Roman"/>
          <w:i/>
          <w:sz w:val="24"/>
        </w:rPr>
        <w:t>Matriz de correlación de variables numéricas.</w:t>
      </w:r>
    </w:p>
    <w:p>
      <w:pPr>
        <w:jc w:val="center"/>
      </w:pPr>
      <w:r>
        <w:drawing>
          <wp:inline xmlns:a="http://schemas.openxmlformats.org/drawingml/2006/main" xmlns:pic="http://schemas.openxmlformats.org/drawingml/2006/picture">
            <wp:extent cx="5486400" cy="4572000"/>
            <wp:docPr id="5" name="Picture 5"/>
            <wp:cNvGraphicFramePr>
              <a:graphicFrameLocks noChangeAspect="1"/>
            </wp:cNvGraphicFramePr>
            <a:graphic>
              <a:graphicData uri="http://schemas.openxmlformats.org/drawingml/2006/picture">
                <pic:pic>
                  <pic:nvPicPr>
                    <pic:cNvPr id="0" name="fig5_heatmap.png"/>
                    <pic:cNvPicPr/>
                  </pic:nvPicPr>
                  <pic:blipFill>
                    <a:blip r:embed="rId13"/>
                    <a:stretch>
                      <a:fillRect/>
                    </a:stretch>
                  </pic:blipFill>
                  <pic:spPr>
                    <a:xfrm>
                      <a:off x="0" y="0"/>
                      <a:ext cx="5486400" cy="4572000"/>
                    </a:xfrm>
                    <a:prstGeom prst="rect"/>
                  </pic:spPr>
                </pic:pic>
              </a:graphicData>
            </a:graphic>
          </wp:inline>
        </w:drawing>
      </w:r>
    </w:p>
    <w:p>
      <w:pPr>
        <w:spacing w:line="240" w:lineRule="auto" w:after="240"/>
        <w:ind w:firstLine="0"/>
        <w:jc w:val="left"/>
      </w:pPr>
      <w:r>
        <w:rPr>
          <w:rFonts w:ascii="Times New Roman" w:hAnsi="Times New Roman"/>
          <w:i/>
          <w:sz w:val="20"/>
        </w:rPr>
        <w:t xml:space="preserve">Nota. </w:t>
      </w:r>
      <w:r>
        <w:rPr>
          <w:rFonts w:ascii="Times New Roman" w:hAnsi="Times New Roman"/>
          <w:i/>
          <w:sz w:val="20"/>
        </w:rPr>
        <w:t>Las correlaciones entre Age, Billing Amount, Room Number y Estancia (días) son prácticamente nulas (|r| &lt; 0,01). No existe relación lineal entre la edad o la duración de la estancia y el monto facturado.</w:t>
      </w:r>
    </w:p>
    <w:p>
      <w:pPr>
        <w:spacing w:before="120" w:line="240" w:lineRule="auto"/>
        <w:ind w:firstLine="0"/>
        <w:jc w:val="left"/>
      </w:pPr>
      <w:r>
        <w:rPr>
          <w:rFonts w:ascii="Times New Roman" w:hAnsi="Times New Roman"/>
          <w:b/>
          <w:sz w:val="24"/>
        </w:rPr>
        <w:t>Tabla 3</w:t>
      </w:r>
    </w:p>
    <w:p>
      <w:pPr>
        <w:spacing w:line="240" w:lineRule="auto" w:after="80"/>
        <w:ind w:firstLine="0"/>
        <w:jc w:val="left"/>
      </w:pPr>
      <w:r>
        <w:rPr>
          <w:rFonts w:ascii="Times New Roman" w:hAnsi="Times New Roman"/>
          <w:i/>
          <w:sz w:val="24"/>
        </w:rPr>
        <w:t>Monto de facturación por condición médica</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D9E2F3"/>
          </w:tcPr>
          <w:p>
            <w:r/>
            <w:r>
              <w:rPr>
                <w:rFonts w:ascii="Times New Roman" w:hAnsi="Times New Roman"/>
                <w:b/>
                <w:sz w:val="20"/>
              </w:rPr>
              <w:t>Condición médica</w:t>
            </w:r>
          </w:p>
        </w:tc>
        <w:tc>
          <w:tcPr>
            <w:tcW w:type="dxa" w:w="2340"/>
            <w:shd w:val="clear" w:color="auto" w:fill="D9E2F3"/>
          </w:tcPr>
          <w:p>
            <w:r/>
            <w:r>
              <w:rPr>
                <w:rFonts w:ascii="Times New Roman" w:hAnsi="Times New Roman"/>
                <w:b/>
                <w:sz w:val="20"/>
              </w:rPr>
              <w:t>n</w:t>
            </w:r>
          </w:p>
        </w:tc>
        <w:tc>
          <w:tcPr>
            <w:tcW w:type="dxa" w:w="2340"/>
            <w:shd w:val="clear" w:color="auto" w:fill="D9E2F3"/>
          </w:tcPr>
          <w:p>
            <w:r/>
            <w:r>
              <w:rPr>
                <w:rFonts w:ascii="Times New Roman" w:hAnsi="Times New Roman"/>
                <w:b/>
                <w:sz w:val="20"/>
              </w:rPr>
              <w:t>Media (USD)</w:t>
            </w:r>
          </w:p>
        </w:tc>
        <w:tc>
          <w:tcPr>
            <w:tcW w:type="dxa" w:w="2340"/>
            <w:shd w:val="clear" w:color="auto" w:fill="D9E2F3"/>
          </w:tcPr>
          <w:p>
            <w:r/>
            <w:r>
              <w:rPr>
                <w:rFonts w:ascii="Times New Roman" w:hAnsi="Times New Roman"/>
                <w:b/>
                <w:sz w:val="20"/>
              </w:rPr>
              <w:t>Mediana (USD)</w:t>
            </w:r>
          </w:p>
        </w:tc>
      </w:tr>
      <w:tr>
        <w:tc>
          <w:tcPr>
            <w:tcW w:type="dxa" w:w="2340"/>
          </w:tcPr>
          <w:p>
            <w:r/>
            <w:r>
              <w:rPr>
                <w:rFonts w:ascii="Times New Roman" w:hAnsi="Times New Roman"/>
                <w:sz w:val="20"/>
              </w:rPr>
              <w:t>Arthritis</w:t>
            </w:r>
          </w:p>
        </w:tc>
        <w:tc>
          <w:tcPr>
            <w:tcW w:type="dxa" w:w="2340"/>
          </w:tcPr>
          <w:p>
            <w:r/>
            <w:r>
              <w:rPr>
                <w:rFonts w:ascii="Times New Roman" w:hAnsi="Times New Roman"/>
                <w:sz w:val="20"/>
              </w:rPr>
              <w:t>9.218</w:t>
            </w:r>
          </w:p>
        </w:tc>
        <w:tc>
          <w:tcPr>
            <w:tcW w:type="dxa" w:w="2340"/>
          </w:tcPr>
          <w:p>
            <w:r/>
            <w:r>
              <w:rPr>
                <w:rFonts w:ascii="Times New Roman" w:hAnsi="Times New Roman"/>
                <w:sz w:val="20"/>
              </w:rPr>
              <w:t>25.511,78</w:t>
            </w:r>
          </w:p>
        </w:tc>
        <w:tc>
          <w:tcPr>
            <w:tcW w:type="dxa" w:w="2340"/>
          </w:tcPr>
          <w:p>
            <w:r/>
            <w:r>
              <w:rPr>
                <w:rFonts w:ascii="Times New Roman" w:hAnsi="Times New Roman"/>
                <w:sz w:val="20"/>
              </w:rPr>
              <w:t>25.599,19</w:t>
            </w:r>
          </w:p>
        </w:tc>
      </w:tr>
      <w:tr>
        <w:tc>
          <w:tcPr>
            <w:tcW w:type="dxa" w:w="2340"/>
          </w:tcPr>
          <w:p>
            <w:r/>
            <w:r>
              <w:rPr>
                <w:rFonts w:ascii="Times New Roman" w:hAnsi="Times New Roman"/>
                <w:sz w:val="20"/>
              </w:rPr>
              <w:t>Asthma</w:t>
            </w:r>
          </w:p>
        </w:tc>
        <w:tc>
          <w:tcPr>
            <w:tcW w:type="dxa" w:w="2340"/>
          </w:tcPr>
          <w:p>
            <w:r/>
            <w:r>
              <w:rPr>
                <w:rFonts w:ascii="Times New Roman" w:hAnsi="Times New Roman"/>
                <w:sz w:val="20"/>
              </w:rPr>
              <w:t>9.095</w:t>
            </w:r>
          </w:p>
        </w:tc>
        <w:tc>
          <w:tcPr>
            <w:tcW w:type="dxa" w:w="2340"/>
          </w:tcPr>
          <w:p>
            <w:r/>
            <w:r>
              <w:rPr>
                <w:rFonts w:ascii="Times New Roman" w:hAnsi="Times New Roman"/>
                <w:sz w:val="20"/>
              </w:rPr>
              <w:t>25.633,46</w:t>
            </w:r>
          </w:p>
        </w:tc>
        <w:tc>
          <w:tcPr>
            <w:tcW w:type="dxa" w:w="2340"/>
          </w:tcPr>
          <w:p>
            <w:r/>
            <w:r>
              <w:rPr>
                <w:rFonts w:ascii="Times New Roman" w:hAnsi="Times New Roman"/>
                <w:sz w:val="20"/>
              </w:rPr>
              <w:t>25.628,41</w:t>
            </w:r>
          </w:p>
        </w:tc>
      </w:tr>
      <w:tr>
        <w:tc>
          <w:tcPr>
            <w:tcW w:type="dxa" w:w="2340"/>
          </w:tcPr>
          <w:p>
            <w:r/>
            <w:r>
              <w:rPr>
                <w:rFonts w:ascii="Times New Roman" w:hAnsi="Times New Roman"/>
                <w:sz w:val="20"/>
              </w:rPr>
              <w:t>Cancer</w:t>
            </w:r>
          </w:p>
        </w:tc>
        <w:tc>
          <w:tcPr>
            <w:tcW w:type="dxa" w:w="2340"/>
          </w:tcPr>
          <w:p>
            <w:r/>
            <w:r>
              <w:rPr>
                <w:rFonts w:ascii="Times New Roman" w:hAnsi="Times New Roman"/>
                <w:sz w:val="20"/>
              </w:rPr>
              <w:t>9.140</w:t>
            </w:r>
          </w:p>
        </w:tc>
        <w:tc>
          <w:tcPr>
            <w:tcW w:type="dxa" w:w="2340"/>
          </w:tcPr>
          <w:p>
            <w:r/>
            <w:r>
              <w:rPr>
                <w:rFonts w:ascii="Times New Roman" w:hAnsi="Times New Roman"/>
                <w:sz w:val="20"/>
              </w:rPr>
              <w:t>25.152,32</w:t>
            </w:r>
          </w:p>
        </w:tc>
        <w:tc>
          <w:tcPr>
            <w:tcW w:type="dxa" w:w="2340"/>
          </w:tcPr>
          <w:p>
            <w:r/>
            <w:r>
              <w:rPr>
                <w:rFonts w:ascii="Times New Roman" w:hAnsi="Times New Roman"/>
                <w:sz w:val="20"/>
              </w:rPr>
              <w:t>24.910,71</w:t>
            </w:r>
          </w:p>
        </w:tc>
      </w:tr>
      <w:tr>
        <w:tc>
          <w:tcPr>
            <w:tcW w:type="dxa" w:w="2340"/>
          </w:tcPr>
          <w:p>
            <w:r/>
            <w:r>
              <w:rPr>
                <w:rFonts w:ascii="Times New Roman" w:hAnsi="Times New Roman"/>
                <w:sz w:val="20"/>
              </w:rPr>
              <w:t>Diabetes</w:t>
            </w:r>
          </w:p>
        </w:tc>
        <w:tc>
          <w:tcPr>
            <w:tcW w:type="dxa" w:w="2340"/>
          </w:tcPr>
          <w:p>
            <w:r/>
            <w:r>
              <w:rPr>
                <w:rFonts w:ascii="Times New Roman" w:hAnsi="Times New Roman"/>
                <w:sz w:val="20"/>
              </w:rPr>
              <w:t>9.216</w:t>
            </w:r>
          </w:p>
        </w:tc>
        <w:tc>
          <w:tcPr>
            <w:tcW w:type="dxa" w:w="2340"/>
          </w:tcPr>
          <w:p>
            <w:r/>
            <w:r>
              <w:rPr>
                <w:rFonts w:ascii="Times New Roman" w:hAnsi="Times New Roman"/>
                <w:sz w:val="20"/>
              </w:rPr>
              <w:t>25.660,48</w:t>
            </w:r>
          </w:p>
        </w:tc>
        <w:tc>
          <w:tcPr>
            <w:tcW w:type="dxa" w:w="2340"/>
          </w:tcPr>
          <w:p>
            <w:r/>
            <w:r>
              <w:rPr>
                <w:rFonts w:ascii="Times New Roman" w:hAnsi="Times New Roman"/>
                <w:sz w:val="20"/>
              </w:rPr>
              <w:t>25.647,71</w:t>
            </w:r>
          </w:p>
        </w:tc>
      </w:tr>
      <w:tr>
        <w:tc>
          <w:tcPr>
            <w:tcW w:type="dxa" w:w="2340"/>
          </w:tcPr>
          <w:p>
            <w:r/>
            <w:r>
              <w:rPr>
                <w:rFonts w:ascii="Times New Roman" w:hAnsi="Times New Roman"/>
                <w:sz w:val="20"/>
              </w:rPr>
              <w:t>Hypertension</w:t>
            </w:r>
          </w:p>
        </w:tc>
        <w:tc>
          <w:tcPr>
            <w:tcW w:type="dxa" w:w="2340"/>
          </w:tcPr>
          <w:p>
            <w:r/>
            <w:r>
              <w:rPr>
                <w:rFonts w:ascii="Times New Roman" w:hAnsi="Times New Roman"/>
                <w:sz w:val="20"/>
              </w:rPr>
              <w:t>9.151</w:t>
            </w:r>
          </w:p>
        </w:tc>
        <w:tc>
          <w:tcPr>
            <w:tcW w:type="dxa" w:w="2340"/>
          </w:tcPr>
          <w:p>
            <w:r/>
            <w:r>
              <w:rPr>
                <w:rFonts w:ascii="Times New Roman" w:hAnsi="Times New Roman"/>
                <w:sz w:val="20"/>
              </w:rPr>
              <w:t>25.503,06</w:t>
            </w:r>
          </w:p>
        </w:tc>
        <w:tc>
          <w:tcPr>
            <w:tcW w:type="dxa" w:w="2340"/>
          </w:tcPr>
          <w:p>
            <w:r/>
            <w:r>
              <w:rPr>
                <w:rFonts w:ascii="Times New Roman" w:hAnsi="Times New Roman"/>
                <w:sz w:val="20"/>
              </w:rPr>
              <w:t>25.281,63</w:t>
            </w:r>
          </w:p>
        </w:tc>
      </w:tr>
      <w:tr>
        <w:tc>
          <w:tcPr>
            <w:tcW w:type="dxa" w:w="2340"/>
          </w:tcPr>
          <w:p>
            <w:r/>
            <w:r>
              <w:rPr>
                <w:rFonts w:ascii="Times New Roman" w:hAnsi="Times New Roman"/>
                <w:sz w:val="20"/>
              </w:rPr>
              <w:t>Obesity</w:t>
            </w:r>
          </w:p>
        </w:tc>
        <w:tc>
          <w:tcPr>
            <w:tcW w:type="dxa" w:w="2340"/>
          </w:tcPr>
          <w:p>
            <w:r/>
            <w:r>
              <w:rPr>
                <w:rFonts w:ascii="Times New Roman" w:hAnsi="Times New Roman"/>
                <w:sz w:val="20"/>
              </w:rPr>
              <w:t>9.146</w:t>
            </w:r>
          </w:p>
        </w:tc>
        <w:tc>
          <w:tcPr>
            <w:tcW w:type="dxa" w:w="2340"/>
          </w:tcPr>
          <w:p>
            <w:r/>
            <w:r>
              <w:rPr>
                <w:rFonts w:ascii="Times New Roman" w:hAnsi="Times New Roman"/>
                <w:sz w:val="20"/>
              </w:rPr>
              <w:t>25.804,36</w:t>
            </w:r>
          </w:p>
        </w:tc>
        <w:tc>
          <w:tcPr>
            <w:tcW w:type="dxa" w:w="2340"/>
          </w:tcPr>
          <w:p>
            <w:r/>
            <w:r>
              <w:rPr>
                <w:rFonts w:ascii="Times New Roman" w:hAnsi="Times New Roman"/>
                <w:sz w:val="20"/>
              </w:rPr>
              <w:t>26.145,58</w:t>
            </w:r>
          </w:p>
        </w:tc>
      </w:tr>
    </w:tbl>
    <w:p>
      <w:pPr>
        <w:spacing w:line="240" w:lineRule="auto" w:after="240"/>
        <w:ind w:firstLine="0"/>
        <w:jc w:val="left"/>
      </w:pPr>
      <w:r>
        <w:rPr>
          <w:rFonts w:ascii="Times New Roman" w:hAnsi="Times New Roman"/>
          <w:i/>
          <w:sz w:val="20"/>
        </w:rPr>
        <w:t xml:space="preserve">Nota. </w:t>
      </w:r>
      <w:r>
        <w:rPr>
          <w:rFonts w:ascii="Times New Roman" w:hAnsi="Times New Roman"/>
          <w:i/>
          <w:sz w:val="20"/>
        </w:rPr>
        <w:t>Elaboración propia. La condición Cáncer presenta la media más baja.</w:t>
      </w:r>
    </w:p>
    <w:p>
      <w:pPr>
        <w:spacing w:before="120" w:line="240" w:lineRule="auto"/>
        <w:ind w:firstLine="0"/>
        <w:jc w:val="center"/>
      </w:pPr>
      <w:r>
        <w:rPr>
          <w:rFonts w:ascii="Times New Roman" w:hAnsi="Times New Roman"/>
          <w:b w:val="0"/>
          <w:i/>
          <w:sz w:val="24"/>
        </w:rPr>
        <w:t>Figura 6</w:t>
      </w:r>
    </w:p>
    <w:p>
      <w:pPr>
        <w:spacing w:line="240" w:lineRule="auto" w:after="80"/>
        <w:ind w:firstLine="0"/>
        <w:jc w:val="center"/>
      </w:pPr>
      <w:r>
        <w:rPr>
          <w:rFonts w:ascii="Times New Roman" w:hAnsi="Times New Roman"/>
          <w:i/>
          <w:sz w:val="24"/>
        </w:rPr>
        <w:t>Monto de facturación por condición médica.</w:t>
      </w:r>
    </w:p>
    <w:p>
      <w:pPr>
        <w:jc w:val="center"/>
      </w:pPr>
      <w:r>
        <w:drawing>
          <wp:inline xmlns:a="http://schemas.openxmlformats.org/drawingml/2006/main" xmlns:pic="http://schemas.openxmlformats.org/drawingml/2006/picture">
            <wp:extent cx="5486400" cy="2743200"/>
            <wp:docPr id="6" name="Picture 6"/>
            <wp:cNvGraphicFramePr>
              <a:graphicFrameLocks noChangeAspect="1"/>
            </wp:cNvGraphicFramePr>
            <a:graphic>
              <a:graphicData uri="http://schemas.openxmlformats.org/drawingml/2006/picture">
                <pic:pic>
                  <pic:nvPicPr>
                    <pic:cNvPr id="0" name="fig6_boxplot_condicion.png"/>
                    <pic:cNvPicPr/>
                  </pic:nvPicPr>
                  <pic:blipFill>
                    <a:blip r:embed="rId14"/>
                    <a:stretch>
                      <a:fillRect/>
                    </a:stretch>
                  </pic:blipFill>
                  <pic:spPr>
                    <a:xfrm>
                      <a:off x="0" y="0"/>
                      <a:ext cx="5486400" cy="2743200"/>
                    </a:xfrm>
                    <a:prstGeom prst="rect"/>
                  </pic:spPr>
                </pic:pic>
              </a:graphicData>
            </a:graphic>
          </wp:inline>
        </w:drawing>
      </w:r>
    </w:p>
    <w:p>
      <w:pPr>
        <w:spacing w:line="240" w:lineRule="auto" w:after="240"/>
        <w:ind w:firstLine="0"/>
        <w:jc w:val="left"/>
      </w:pPr>
      <w:r>
        <w:rPr>
          <w:rFonts w:ascii="Times New Roman" w:hAnsi="Times New Roman"/>
          <w:i/>
          <w:sz w:val="20"/>
        </w:rPr>
        <w:t xml:space="preserve">Nota. </w:t>
      </w:r>
      <w:r>
        <w:rPr>
          <w:rFonts w:ascii="Times New Roman" w:hAnsi="Times New Roman"/>
          <w:i/>
          <w:sz w:val="20"/>
        </w:rPr>
        <w:t>Los boxplots muestran distribuciones muy similares entre condiciones, con medianas cercanas a 25.500 USD. Cáncer presenta una mediana ligeramente inferior.</w:t>
      </w:r>
    </w:p>
    <w:p>
      <w:pPr>
        <w:spacing w:before="120" w:line="240" w:lineRule="auto"/>
        <w:ind w:firstLine="0"/>
        <w:jc w:val="left"/>
      </w:pPr>
      <w:r>
        <w:rPr>
          <w:rFonts w:ascii="Times New Roman" w:hAnsi="Times New Roman"/>
          <w:b/>
          <w:sz w:val="24"/>
        </w:rPr>
        <w:t>Tabla 4</w:t>
      </w:r>
    </w:p>
    <w:p>
      <w:pPr>
        <w:spacing w:line="240" w:lineRule="auto" w:after="80"/>
        <w:ind w:firstLine="0"/>
        <w:jc w:val="left"/>
      </w:pPr>
      <w:r>
        <w:rPr>
          <w:rFonts w:ascii="Times New Roman" w:hAnsi="Times New Roman"/>
          <w:i/>
          <w:sz w:val="24"/>
        </w:rPr>
        <w:t>Monto de facturación por tipo de admisión, género y resultado de prueba</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D9E2F3"/>
          </w:tcPr>
          <w:p>
            <w:r/>
            <w:r>
              <w:rPr>
                <w:rFonts w:ascii="Times New Roman" w:hAnsi="Times New Roman"/>
                <w:b/>
                <w:sz w:val="20"/>
              </w:rPr>
              <w:t>Variable / Categoría</w:t>
            </w:r>
          </w:p>
        </w:tc>
        <w:tc>
          <w:tcPr>
            <w:tcW w:type="dxa" w:w="2340"/>
            <w:shd w:val="clear" w:color="auto" w:fill="D9E2F3"/>
          </w:tcPr>
          <w:p>
            <w:r/>
            <w:r>
              <w:rPr>
                <w:rFonts w:ascii="Times New Roman" w:hAnsi="Times New Roman"/>
                <w:b/>
                <w:sz w:val="20"/>
              </w:rPr>
              <w:t>n</w:t>
            </w:r>
          </w:p>
        </w:tc>
        <w:tc>
          <w:tcPr>
            <w:tcW w:type="dxa" w:w="2340"/>
            <w:shd w:val="clear" w:color="auto" w:fill="D9E2F3"/>
          </w:tcPr>
          <w:p>
            <w:r/>
            <w:r>
              <w:rPr>
                <w:rFonts w:ascii="Times New Roman" w:hAnsi="Times New Roman"/>
                <w:b/>
                <w:sz w:val="20"/>
              </w:rPr>
              <w:t>Media (USD)</w:t>
            </w:r>
          </w:p>
        </w:tc>
        <w:tc>
          <w:tcPr>
            <w:tcW w:type="dxa" w:w="2340"/>
            <w:shd w:val="clear" w:color="auto" w:fill="D9E2F3"/>
          </w:tcPr>
          <w:p>
            <w:r/>
            <w:r>
              <w:rPr>
                <w:rFonts w:ascii="Times New Roman" w:hAnsi="Times New Roman"/>
                <w:b/>
                <w:sz w:val="20"/>
              </w:rPr>
              <w:t>Mediana (USD)</w:t>
            </w:r>
          </w:p>
        </w:tc>
      </w:tr>
      <w:tr>
        <w:tc>
          <w:tcPr>
            <w:tcW w:type="dxa" w:w="2340"/>
          </w:tcPr>
          <w:p>
            <w:r/>
            <w:r>
              <w:rPr>
                <w:rFonts w:ascii="Times New Roman" w:hAnsi="Times New Roman"/>
                <w:sz w:val="20"/>
              </w:rPr>
              <w:t>Admission Type - Elective</w:t>
            </w:r>
          </w:p>
        </w:tc>
        <w:tc>
          <w:tcPr>
            <w:tcW w:type="dxa" w:w="2340"/>
          </w:tcPr>
          <w:p>
            <w:r/>
            <w:r>
              <w:rPr>
                <w:rFonts w:ascii="Times New Roman" w:hAnsi="Times New Roman"/>
                <w:sz w:val="20"/>
              </w:rPr>
              <w:t>18.473</w:t>
            </w:r>
          </w:p>
        </w:tc>
        <w:tc>
          <w:tcPr>
            <w:tcW w:type="dxa" w:w="2340"/>
          </w:tcPr>
          <w:p>
            <w:r/>
            <w:r>
              <w:rPr>
                <w:rFonts w:ascii="Times New Roman" w:hAnsi="Times New Roman"/>
                <w:sz w:val="20"/>
              </w:rPr>
              <w:t>25.612,14</w:t>
            </w:r>
          </w:p>
        </w:tc>
        <w:tc>
          <w:tcPr>
            <w:tcW w:type="dxa" w:w="2340"/>
          </w:tcPr>
          <w:p>
            <w:r/>
            <w:r>
              <w:rPr>
                <w:rFonts w:ascii="Times New Roman" w:hAnsi="Times New Roman"/>
                <w:sz w:val="20"/>
              </w:rPr>
              <w:t>25.674,74</w:t>
            </w:r>
          </w:p>
        </w:tc>
      </w:tr>
      <w:tr>
        <w:tc>
          <w:tcPr>
            <w:tcW w:type="dxa" w:w="2340"/>
          </w:tcPr>
          <w:p>
            <w:r/>
            <w:r>
              <w:rPr>
                <w:rFonts w:ascii="Times New Roman" w:hAnsi="Times New Roman"/>
                <w:sz w:val="20"/>
              </w:rPr>
              <w:t>Admission Type - Emergency</w:t>
            </w:r>
          </w:p>
        </w:tc>
        <w:tc>
          <w:tcPr>
            <w:tcW w:type="dxa" w:w="2340"/>
          </w:tcPr>
          <w:p>
            <w:r/>
            <w:r>
              <w:rPr>
                <w:rFonts w:ascii="Times New Roman" w:hAnsi="Times New Roman"/>
                <w:sz w:val="20"/>
              </w:rPr>
              <w:t>18.102</w:t>
            </w:r>
          </w:p>
        </w:tc>
        <w:tc>
          <w:tcPr>
            <w:tcW w:type="dxa" w:w="2340"/>
          </w:tcPr>
          <w:p>
            <w:r/>
            <w:r>
              <w:rPr>
                <w:rFonts w:ascii="Times New Roman" w:hAnsi="Times New Roman"/>
                <w:sz w:val="20"/>
              </w:rPr>
              <w:t>25.505,33</w:t>
            </w:r>
          </w:p>
        </w:tc>
        <w:tc>
          <w:tcPr>
            <w:tcW w:type="dxa" w:w="2340"/>
          </w:tcPr>
          <w:p>
            <w:r/>
            <w:r>
              <w:rPr>
                <w:rFonts w:ascii="Times New Roman" w:hAnsi="Times New Roman"/>
                <w:sz w:val="20"/>
              </w:rPr>
              <w:t>25.413,78</w:t>
            </w:r>
          </w:p>
        </w:tc>
      </w:tr>
      <w:tr>
        <w:tc>
          <w:tcPr>
            <w:tcW w:type="dxa" w:w="2340"/>
          </w:tcPr>
          <w:p>
            <w:r/>
            <w:r>
              <w:rPr>
                <w:rFonts w:ascii="Times New Roman" w:hAnsi="Times New Roman"/>
                <w:sz w:val="20"/>
              </w:rPr>
              <w:t>Admission Type - Urgent</w:t>
            </w:r>
          </w:p>
        </w:tc>
        <w:tc>
          <w:tcPr>
            <w:tcW w:type="dxa" w:w="2340"/>
          </w:tcPr>
          <w:p>
            <w:r/>
            <w:r>
              <w:rPr>
                <w:rFonts w:ascii="Times New Roman" w:hAnsi="Times New Roman"/>
                <w:sz w:val="20"/>
              </w:rPr>
              <w:t>18.391</w:t>
            </w:r>
          </w:p>
        </w:tc>
        <w:tc>
          <w:tcPr>
            <w:tcW w:type="dxa" w:w="2340"/>
          </w:tcPr>
          <w:p>
            <w:r/>
            <w:r>
              <w:rPr>
                <w:rFonts w:ascii="Times New Roman" w:hAnsi="Times New Roman"/>
                <w:sz w:val="20"/>
              </w:rPr>
              <w:t>25.514,53</w:t>
            </w:r>
          </w:p>
        </w:tc>
        <w:tc>
          <w:tcPr>
            <w:tcW w:type="dxa" w:w="2340"/>
          </w:tcPr>
          <w:p>
            <w:r/>
            <w:r>
              <w:rPr>
                <w:rFonts w:ascii="Times New Roman" w:hAnsi="Times New Roman"/>
                <w:sz w:val="20"/>
              </w:rPr>
              <w:t>25.543,56</w:t>
            </w:r>
          </w:p>
        </w:tc>
      </w:tr>
      <w:tr>
        <w:tc>
          <w:tcPr>
            <w:tcW w:type="dxa" w:w="2340"/>
          </w:tcPr>
          <w:p>
            <w:r/>
            <w:r>
              <w:rPr>
                <w:rFonts w:ascii="Times New Roman" w:hAnsi="Times New Roman"/>
                <w:sz w:val="20"/>
              </w:rPr>
              <w:t>Gender - Female</w:t>
            </w:r>
          </w:p>
        </w:tc>
        <w:tc>
          <w:tcPr>
            <w:tcW w:type="dxa" w:w="2340"/>
          </w:tcPr>
          <w:p>
            <w:r/>
            <w:r>
              <w:rPr>
                <w:rFonts w:ascii="Times New Roman" w:hAnsi="Times New Roman"/>
                <w:sz w:val="20"/>
              </w:rPr>
              <w:t>27.470</w:t>
            </w:r>
          </w:p>
        </w:tc>
        <w:tc>
          <w:tcPr>
            <w:tcW w:type="dxa" w:w="2340"/>
          </w:tcPr>
          <w:p>
            <w:r/>
            <w:r>
              <w:rPr>
                <w:rFonts w:ascii="Times New Roman" w:hAnsi="Times New Roman"/>
                <w:sz w:val="20"/>
              </w:rPr>
              <w:t>25.474,10</w:t>
            </w:r>
          </w:p>
        </w:tc>
        <w:tc>
          <w:tcPr>
            <w:tcW w:type="dxa" w:w="2340"/>
          </w:tcPr>
          <w:p>
            <w:r/>
            <w:r>
              <w:rPr>
                <w:rFonts w:ascii="Times New Roman" w:hAnsi="Times New Roman"/>
                <w:sz w:val="20"/>
              </w:rPr>
              <w:t>25.427,85</w:t>
            </w:r>
          </w:p>
        </w:tc>
      </w:tr>
      <w:tr>
        <w:tc>
          <w:tcPr>
            <w:tcW w:type="dxa" w:w="2340"/>
          </w:tcPr>
          <w:p>
            <w:r/>
            <w:r>
              <w:rPr>
                <w:rFonts w:ascii="Times New Roman" w:hAnsi="Times New Roman"/>
                <w:sz w:val="20"/>
              </w:rPr>
              <w:t>Gender - Male</w:t>
            </w:r>
          </w:p>
        </w:tc>
        <w:tc>
          <w:tcPr>
            <w:tcW w:type="dxa" w:w="2340"/>
          </w:tcPr>
          <w:p>
            <w:r/>
            <w:r>
              <w:rPr>
                <w:rFonts w:ascii="Times New Roman" w:hAnsi="Times New Roman"/>
                <w:sz w:val="20"/>
              </w:rPr>
              <w:t>27.496</w:t>
            </w:r>
          </w:p>
        </w:tc>
        <w:tc>
          <w:tcPr>
            <w:tcW w:type="dxa" w:w="2340"/>
          </w:tcPr>
          <w:p>
            <w:r/>
            <w:r>
              <w:rPr>
                <w:rFonts w:ascii="Times New Roman" w:hAnsi="Times New Roman"/>
                <w:sz w:val="20"/>
              </w:rPr>
              <w:t>25.614,45</w:t>
            </w:r>
          </w:p>
        </w:tc>
        <w:tc>
          <w:tcPr>
            <w:tcW w:type="dxa" w:w="2340"/>
          </w:tcPr>
          <w:p>
            <w:r/>
            <w:r>
              <w:rPr>
                <w:rFonts w:ascii="Times New Roman" w:hAnsi="Times New Roman"/>
                <w:sz w:val="20"/>
              </w:rPr>
              <w:t>25.686,88</w:t>
            </w:r>
          </w:p>
        </w:tc>
      </w:tr>
      <w:tr>
        <w:tc>
          <w:tcPr>
            <w:tcW w:type="dxa" w:w="2340"/>
          </w:tcPr>
          <w:p>
            <w:r/>
            <w:r>
              <w:rPr>
                <w:rFonts w:ascii="Times New Roman" w:hAnsi="Times New Roman"/>
                <w:sz w:val="20"/>
              </w:rPr>
              <w:t>Test Results - Abnormal</w:t>
            </w:r>
          </w:p>
        </w:tc>
        <w:tc>
          <w:tcPr>
            <w:tcW w:type="dxa" w:w="2340"/>
          </w:tcPr>
          <w:p>
            <w:r/>
            <w:r>
              <w:rPr>
                <w:rFonts w:ascii="Times New Roman" w:hAnsi="Times New Roman"/>
                <w:sz w:val="20"/>
              </w:rPr>
              <w:t>18.437</w:t>
            </w:r>
          </w:p>
        </w:tc>
        <w:tc>
          <w:tcPr>
            <w:tcW w:type="dxa" w:w="2340"/>
          </w:tcPr>
          <w:p>
            <w:r/>
            <w:r>
              <w:rPr>
                <w:rFonts w:ascii="Times New Roman" w:hAnsi="Times New Roman"/>
                <w:sz w:val="20"/>
              </w:rPr>
              <w:t>25.544,04</w:t>
            </w:r>
          </w:p>
        </w:tc>
        <w:tc>
          <w:tcPr>
            <w:tcW w:type="dxa" w:w="2340"/>
          </w:tcPr>
          <w:p>
            <w:r/>
            <w:r>
              <w:rPr>
                <w:rFonts w:ascii="Times New Roman" w:hAnsi="Times New Roman"/>
                <w:sz w:val="20"/>
              </w:rPr>
              <w:t>25.602,59</w:t>
            </w:r>
          </w:p>
        </w:tc>
      </w:tr>
      <w:tr>
        <w:tc>
          <w:tcPr>
            <w:tcW w:type="dxa" w:w="2340"/>
          </w:tcPr>
          <w:p>
            <w:r/>
            <w:r>
              <w:rPr>
                <w:rFonts w:ascii="Times New Roman" w:hAnsi="Times New Roman"/>
                <w:sz w:val="20"/>
              </w:rPr>
              <w:t>Test Results - Inconclusive</w:t>
            </w:r>
          </w:p>
        </w:tc>
        <w:tc>
          <w:tcPr>
            <w:tcW w:type="dxa" w:w="2340"/>
          </w:tcPr>
          <w:p>
            <w:r/>
            <w:r>
              <w:rPr>
                <w:rFonts w:ascii="Times New Roman" w:hAnsi="Times New Roman"/>
                <w:sz w:val="20"/>
              </w:rPr>
              <w:t>18.198</w:t>
            </w:r>
          </w:p>
        </w:tc>
        <w:tc>
          <w:tcPr>
            <w:tcW w:type="dxa" w:w="2340"/>
          </w:tcPr>
          <w:p>
            <w:r/>
            <w:r>
              <w:rPr>
                <w:rFonts w:ascii="Times New Roman" w:hAnsi="Times New Roman"/>
                <w:sz w:val="20"/>
              </w:rPr>
              <w:t>25.637,34</w:t>
            </w:r>
          </w:p>
        </w:tc>
        <w:tc>
          <w:tcPr>
            <w:tcW w:type="dxa" w:w="2340"/>
          </w:tcPr>
          <w:p>
            <w:r/>
            <w:r>
              <w:rPr>
                <w:rFonts w:ascii="Times New Roman" w:hAnsi="Times New Roman"/>
                <w:sz w:val="20"/>
              </w:rPr>
              <w:t>25.699,28</w:t>
            </w:r>
          </w:p>
        </w:tc>
      </w:tr>
      <w:tr>
        <w:tc>
          <w:tcPr>
            <w:tcW w:type="dxa" w:w="2340"/>
          </w:tcPr>
          <w:p>
            <w:r/>
            <w:r>
              <w:rPr>
                <w:rFonts w:ascii="Times New Roman" w:hAnsi="Times New Roman"/>
                <w:sz w:val="20"/>
              </w:rPr>
              <w:t>Test Results - Normal</w:t>
            </w:r>
          </w:p>
        </w:tc>
        <w:tc>
          <w:tcPr>
            <w:tcW w:type="dxa" w:w="2340"/>
          </w:tcPr>
          <w:p>
            <w:r/>
            <w:r>
              <w:rPr>
                <w:rFonts w:ascii="Times New Roman" w:hAnsi="Times New Roman"/>
                <w:sz w:val="20"/>
              </w:rPr>
              <w:t>18.331</w:t>
            </w:r>
          </w:p>
        </w:tc>
        <w:tc>
          <w:tcPr>
            <w:tcW w:type="dxa" w:w="2340"/>
          </w:tcPr>
          <w:p>
            <w:r/>
            <w:r>
              <w:rPr>
                <w:rFonts w:ascii="Times New Roman" w:hAnsi="Times New Roman"/>
                <w:sz w:val="20"/>
              </w:rPr>
              <w:t>25.452,22</w:t>
            </w:r>
          </w:p>
        </w:tc>
        <w:tc>
          <w:tcPr>
            <w:tcW w:type="dxa" w:w="2340"/>
          </w:tcPr>
          <w:p>
            <w:r/>
            <w:r>
              <w:rPr>
                <w:rFonts w:ascii="Times New Roman" w:hAnsi="Times New Roman"/>
                <w:sz w:val="20"/>
              </w:rPr>
              <w:t>25.349,75</w:t>
            </w:r>
          </w:p>
        </w:tc>
      </w:tr>
    </w:tbl>
    <w:p>
      <w:pPr>
        <w:spacing w:line="240" w:lineRule="auto" w:after="240"/>
        <w:ind w:firstLine="0"/>
        <w:jc w:val="left"/>
      </w:pPr>
      <w:r>
        <w:rPr>
          <w:rFonts w:ascii="Times New Roman" w:hAnsi="Times New Roman"/>
          <w:i/>
          <w:sz w:val="20"/>
        </w:rPr>
        <w:t xml:space="preserve">Nota. </w:t>
      </w:r>
      <w:r>
        <w:rPr>
          <w:rFonts w:ascii="Times New Roman" w:hAnsi="Times New Roman"/>
          <w:i/>
          <w:sz w:val="20"/>
        </w:rPr>
        <w:t>Elaboración propia.</w:t>
      </w:r>
    </w:p>
    <w:p>
      <w:pPr>
        <w:spacing w:before="120" w:line="240" w:lineRule="auto"/>
        <w:ind w:firstLine="0"/>
        <w:jc w:val="center"/>
      </w:pPr>
      <w:r>
        <w:rPr>
          <w:rFonts w:ascii="Times New Roman" w:hAnsi="Times New Roman"/>
          <w:b w:val="0"/>
          <w:i/>
          <w:sz w:val="24"/>
        </w:rPr>
        <w:t>Figura 7</w:t>
      </w:r>
    </w:p>
    <w:p>
      <w:pPr>
        <w:spacing w:line="240" w:lineRule="auto" w:after="80"/>
        <w:ind w:firstLine="0"/>
        <w:jc w:val="center"/>
      </w:pPr>
      <w:r>
        <w:rPr>
          <w:rFonts w:ascii="Times New Roman" w:hAnsi="Times New Roman"/>
          <w:i/>
          <w:sz w:val="24"/>
        </w:rPr>
        <w:t>Frecuencia por resultado de prueba.</w:t>
      </w:r>
    </w:p>
    <w:p>
      <w:pPr>
        <w:jc w:val="center"/>
      </w:pPr>
      <w:r>
        <w:drawing>
          <wp:inline xmlns:a="http://schemas.openxmlformats.org/drawingml/2006/main" xmlns:pic="http://schemas.openxmlformats.org/drawingml/2006/picture">
            <wp:extent cx="5486400" cy="3657600"/>
            <wp:docPr id="7" name="Picture 7"/>
            <wp:cNvGraphicFramePr>
              <a:graphicFrameLocks noChangeAspect="1"/>
            </wp:cNvGraphicFramePr>
            <a:graphic>
              <a:graphicData uri="http://schemas.openxmlformats.org/drawingml/2006/picture">
                <pic:pic>
                  <pic:nvPicPr>
                    <pic:cNvPr id="0" name="fig7_testresults.png"/>
                    <pic:cNvPicPr/>
                  </pic:nvPicPr>
                  <pic:blipFill>
                    <a:blip r:embed="rId15"/>
                    <a:stretch>
                      <a:fillRect/>
                    </a:stretch>
                  </pic:blipFill>
                  <pic:spPr>
                    <a:xfrm>
                      <a:off x="0" y="0"/>
                      <a:ext cx="5486400" cy="3657600"/>
                    </a:xfrm>
                    <a:prstGeom prst="rect"/>
                  </pic:spPr>
                </pic:pic>
              </a:graphicData>
            </a:graphic>
          </wp:inline>
        </w:drawing>
      </w:r>
    </w:p>
    <w:p>
      <w:pPr>
        <w:spacing w:line="240" w:lineRule="auto" w:after="240"/>
        <w:ind w:firstLine="0"/>
        <w:jc w:val="left"/>
      </w:pPr>
      <w:r>
        <w:rPr>
          <w:rFonts w:ascii="Times New Roman" w:hAnsi="Times New Roman"/>
          <w:i/>
          <w:sz w:val="20"/>
        </w:rPr>
        <w:t xml:space="preserve">Nota. </w:t>
      </w:r>
      <w:r>
        <w:rPr>
          <w:rFonts w:ascii="Times New Roman" w:hAnsi="Times New Roman"/>
          <w:i/>
          <w:sz w:val="20"/>
        </w:rPr>
        <w:t>Los resultados de prueba (Abnormal, Normal, Inconclusive) se distribuyen de forma casi idéntica, sin concentración en una categoría.</w:t>
      </w:r>
    </w:p>
    <w:p>
      <w:pPr>
        <w:spacing w:line="480" w:lineRule="auto" w:after="0"/>
        <w:ind w:firstLine="720"/>
      </w:pPr>
      <w:r>
        <w:rPr>
          <w:rFonts w:ascii="Times New Roman" w:hAnsi="Times New Roman"/>
          <w:b w:val="0"/>
          <w:i w:val="0"/>
          <w:sz w:val="24"/>
        </w:rPr>
        <w:t>Los cruces muestran que el monto de facturación es prácticamente homogéneo entre categorías: las medias por tipo de admisión varían en menos de 107 USD y por género en 140 USD. Los proveedores de seguro y los medicamentos también presentan medias similares (no mostradas por brevedad).</w:t>
      </w:r>
    </w:p>
    <w:p>
      <w:pPr>
        <w:spacing w:before="240" w:after="120" w:line="480" w:lineRule="auto"/>
        <w:ind w:firstLine="0"/>
        <w:jc w:val="center"/>
      </w:pPr>
      <w:r>
        <w:rPr>
          <w:rFonts w:ascii="Times New Roman" w:hAnsi="Times New Roman"/>
          <w:b/>
          <w:i w:val="0"/>
          <w:sz w:val="24"/>
        </w:rPr>
        <w:t>5. Hallazgos y Recomendaciones</w:t>
      </w:r>
    </w:p>
    <w:p>
      <w:pPr>
        <w:spacing w:before="160" w:after="120" w:line="480" w:lineRule="auto"/>
        <w:ind w:firstLine="0"/>
        <w:jc w:val="left"/>
      </w:pPr>
      <w:r>
        <w:rPr>
          <w:rFonts w:ascii="Times New Roman" w:hAnsi="Times New Roman"/>
          <w:b/>
          <w:i w:val="0"/>
          <w:sz w:val="24"/>
        </w:rPr>
        <w:t>Hipótesis validadas</w:t>
      </w:r>
    </w:p>
    <w:p>
      <w:pPr>
        <w:spacing w:line="480" w:lineRule="auto" w:after="0"/>
        <w:ind w:firstLine="720"/>
      </w:pPr>
      <w:r>
        <w:rPr>
          <w:rFonts w:ascii="Times New Roman" w:hAnsi="Times New Roman"/>
          <w:b w:val="0"/>
          <w:i w:val="0"/>
          <w:sz w:val="24"/>
        </w:rPr>
        <w:t>H1: "Las admisiones de emergencia tienen mayor monto de facturación que las electivas." → Rechazada. Prueba t de Student: t = -0,72; p = 0,472. No existe diferencia significativa entre Emergency (25.505 USD) y Elective (25.612 USD).</w:t>
      </w:r>
    </w:p>
    <w:p>
      <w:pPr>
        <w:spacing w:line="480" w:lineRule="auto" w:after="0"/>
        <w:ind w:firstLine="720"/>
      </w:pPr>
      <w:r>
        <w:rPr>
          <w:rFonts w:ascii="Times New Roman" w:hAnsi="Times New Roman"/>
          <w:b w:val="0"/>
          <w:i w:val="0"/>
          <w:sz w:val="24"/>
        </w:rPr>
        <w:t>H2: "Los pacientes de 65 años o más tienen mayor monto de facturación." → Rechazada. Prueba t: t = -1,22; p = 0,221. El grupo ≥65 años (25.431 USD) no difiere del grupo &lt;65 años (≈25.540 USD).</w:t>
      </w:r>
    </w:p>
    <w:p>
      <w:pPr>
        <w:spacing w:line="480" w:lineRule="auto" w:after="0"/>
        <w:ind w:firstLine="720"/>
      </w:pPr>
      <w:r>
        <w:rPr>
          <w:rFonts w:ascii="Times New Roman" w:hAnsi="Times New Roman"/>
          <w:b w:val="0"/>
          <w:i w:val="0"/>
          <w:sz w:val="24"/>
        </w:rPr>
        <w:t>H3: "La condición Cáncer se asocia con mayor facturación." → Rechazada e invertida. Prueba t: t = -2,89; p = 0,004. Cáncer presenta la media más baja (25.152 USD) frente al resto (≈25.610 USD), diferencia estadísticamente significativa.</w:t>
      </w:r>
    </w:p>
    <w:p>
      <w:pPr>
        <w:spacing w:before="160" w:after="120" w:line="480" w:lineRule="auto"/>
        <w:ind w:firstLine="0"/>
        <w:jc w:val="left"/>
      </w:pPr>
      <w:r>
        <w:rPr>
          <w:rFonts w:ascii="Times New Roman" w:hAnsi="Times New Roman"/>
          <w:b/>
          <w:i w:val="0"/>
          <w:sz w:val="24"/>
        </w:rPr>
        <w:t>Nuevas variables y segmentos propuestos</w:t>
      </w:r>
    </w:p>
    <w:p>
      <w:pPr>
        <w:pStyle w:val="ListBullet"/>
        <w:spacing w:line="480" w:lineRule="auto" w:after="0"/>
        <w:ind w:firstLine="0"/>
      </w:pPr>
      <w:r>
        <w:rPr>
          <w:rFonts w:ascii="Times New Roman" w:hAnsi="Times New Roman"/>
          <w:sz w:val="24"/>
        </w:rPr>
        <w:t>Duración de la estancia (días): derivada de la diferencia entre fecha de alta y fecha de admisión (media 15,5 días).</w:t>
      </w:r>
    </w:p>
    <w:p>
      <w:pPr>
        <w:pStyle w:val="ListBullet"/>
        <w:spacing w:line="480" w:lineRule="auto" w:after="0"/>
        <w:ind w:firstLine="0"/>
      </w:pPr>
      <w:r>
        <w:rPr>
          <w:rFonts w:ascii="Times New Roman" w:hAnsi="Times New Roman"/>
          <w:sz w:val="24"/>
        </w:rPr>
        <w:t>Segmento de facturación: bajo (≤ 17.196,95 USD), medio (17.196,95–33.397,60 USD) y alto (≥ 33.397,60 USD), por terciles.</w:t>
      </w:r>
    </w:p>
    <w:p>
      <w:pPr>
        <w:pStyle w:val="ListBullet"/>
        <w:spacing w:line="480" w:lineRule="auto" w:after="0"/>
        <w:ind w:firstLine="0"/>
      </w:pPr>
      <w:r>
        <w:rPr>
          <w:rFonts w:ascii="Times New Roman" w:hAnsi="Times New Roman"/>
          <w:sz w:val="24"/>
        </w:rPr>
        <w:t>Segmento de edad: 0–17, 18–34, 35–49, 50–64 y 65+ años.</w:t>
      </w:r>
    </w:p>
    <w:p>
      <w:pPr>
        <w:spacing w:before="160" w:after="120" w:line="480" w:lineRule="auto"/>
        <w:ind w:firstLine="0"/>
        <w:jc w:val="left"/>
      </w:pPr>
      <w:r>
        <w:rPr>
          <w:rFonts w:ascii="Times New Roman" w:hAnsi="Times New Roman"/>
          <w:b/>
          <w:i w:val="0"/>
          <w:sz w:val="24"/>
        </w:rPr>
        <w:t>Hallazgos y recomendaciones (formato evidencia–acción)</w:t>
      </w:r>
    </w:p>
    <w:p>
      <w:pPr>
        <w:spacing w:line="480" w:lineRule="auto" w:after="0"/>
        <w:ind w:firstLine="0"/>
      </w:pPr>
      <w:r>
        <w:rPr>
          <w:rFonts w:ascii="Times New Roman" w:hAnsi="Times New Roman"/>
          <w:b/>
          <w:i w:val="0"/>
          <w:sz w:val="24"/>
        </w:rPr>
        <w:t>Hallazgo 1. Facturación independiente de la edad y la estancia.</w:t>
      </w:r>
    </w:p>
    <w:p>
      <w:pPr>
        <w:spacing w:line="480" w:lineRule="auto" w:after="0"/>
        <w:ind w:firstLine="720"/>
      </w:pPr>
      <w:r>
        <w:rPr>
          <w:rFonts w:ascii="Times New Roman" w:hAnsi="Times New Roman"/>
          <w:b w:val="0"/>
          <w:i w:val="0"/>
          <w:sz w:val="24"/>
        </w:rPr>
        <w:t>Evidencia: las correlaciones entre Billing Amount y Age (r = -0,003) y entre Billing Amount y duración de la estancia (r = -0,005) son prácticamente nulas; las medias por segmento de edad varían menos de 1.300 USD.</w:t>
      </w:r>
    </w:p>
    <w:p>
      <w:pPr>
        <w:spacing w:line="480" w:lineRule="auto" w:after="0"/>
        <w:ind w:firstLine="720"/>
      </w:pPr>
      <w:r>
        <w:rPr>
          <w:rFonts w:ascii="Times New Roman" w:hAnsi="Times New Roman"/>
          <w:b w:val="0"/>
          <w:i w:val="0"/>
          <w:sz w:val="24"/>
        </w:rPr>
        <w:t>Acción: la facturación no se explica por la edad ni por la duración de la estancia; se recomienda incorporar variables clínicas y de procedimiento (tipo de tratamiento, medicamento, días en UCI) para modelar el costo.</w:t>
      </w:r>
    </w:p>
    <w:p>
      <w:pPr>
        <w:spacing w:line="480" w:lineRule="auto" w:after="0"/>
        <w:ind w:firstLine="0"/>
      </w:pPr>
      <w:r>
        <w:rPr>
          <w:rFonts w:ascii="Times New Roman" w:hAnsi="Times New Roman"/>
          <w:b/>
          <w:i w:val="0"/>
          <w:sz w:val="24"/>
        </w:rPr>
        <w:t>Hallazgo 2. Cáncer presenta la facturación media más baja.</w:t>
      </w:r>
    </w:p>
    <w:p>
      <w:pPr>
        <w:spacing w:line="480" w:lineRule="auto" w:after="0"/>
        <w:ind w:firstLine="720"/>
      </w:pPr>
      <w:r>
        <w:rPr>
          <w:rFonts w:ascii="Times New Roman" w:hAnsi="Times New Roman"/>
          <w:b w:val="0"/>
          <w:i w:val="0"/>
          <w:sz w:val="24"/>
        </w:rPr>
        <w:t>Evidencia: Cáncer (n = 9.140) tiene media de 25.152 USD frente a 25.610 USD del resto de condiciones; prueba t significativa (p = 0,004).</w:t>
      </w:r>
    </w:p>
    <w:p>
      <w:pPr>
        <w:spacing w:line="480" w:lineRule="auto" w:after="0"/>
        <w:ind w:firstLine="720"/>
      </w:pPr>
      <w:r>
        <w:rPr>
          <w:rFonts w:ascii="Times New Roman" w:hAnsi="Times New Roman"/>
          <w:b w:val="0"/>
          <w:i w:val="0"/>
          <w:sz w:val="24"/>
        </w:rPr>
        <w:t>Acción: revisar la codificación de los procedimientos oncológicos y los esquemas de tratamiento; es posible que los costos asociados a Cáncer se registren bajo otras partidas o que exista un patrón de facturación diferenciado que requiera auditoría administrativa.</w:t>
      </w:r>
    </w:p>
    <w:p>
      <w:pPr>
        <w:spacing w:line="480" w:lineRule="auto" w:after="0"/>
        <w:ind w:firstLine="0"/>
      </w:pPr>
      <w:r>
        <w:rPr>
          <w:rFonts w:ascii="Times New Roman" w:hAnsi="Times New Roman"/>
          <w:b/>
          <w:i w:val="0"/>
          <w:sz w:val="24"/>
        </w:rPr>
        <w:t>Hallazgo 3. Homogeneidad de la facturación entre grupos.</w:t>
      </w:r>
    </w:p>
    <w:p>
      <w:pPr>
        <w:spacing w:line="480" w:lineRule="auto" w:after="0"/>
        <w:ind w:firstLine="720"/>
      </w:pPr>
      <w:r>
        <w:rPr>
          <w:rFonts w:ascii="Times New Roman" w:hAnsi="Times New Roman"/>
          <w:b w:val="0"/>
          <w:i w:val="0"/>
          <w:sz w:val="24"/>
        </w:rPr>
        <w:t>Evidencia: no hay diferencias significativas por tipo de admisión (p = 0,472), género ni resultado de prueba; las medias por tipo de admisión varían menos de 107 USD.</w:t>
      </w:r>
    </w:p>
    <w:p>
      <w:pPr>
        <w:spacing w:line="480" w:lineRule="auto" w:after="0"/>
        <w:ind w:firstLine="720"/>
      </w:pPr>
      <w:r>
        <w:rPr>
          <w:rFonts w:ascii="Times New Roman" w:hAnsi="Times New Roman"/>
          <w:b w:val="0"/>
          <w:i w:val="0"/>
          <w:sz w:val="24"/>
        </w:rPr>
        <w:t>Acción: el monto facturado es independiente del tipo de admisión y del resultado de la prueba; se sugiere revisar la estructura tarifaria del hospital, ya que la facturación parece estandarizada y no refleja la complejidad clínica.</w:t>
      </w:r>
    </w:p>
    <w:p>
      <w:pPr>
        <w:spacing w:line="480" w:lineRule="auto" w:after="0"/>
        <w:ind w:firstLine="720"/>
      </w:pPr>
      <w:r>
        <w:rPr>
          <w:rFonts w:ascii="Times New Roman" w:hAnsi="Times New Roman"/>
          <w:b w:val="0"/>
          <w:i w:val="0"/>
          <w:sz w:val="24"/>
        </w:rPr>
        <w:t>Hallazgo adicional. Anomalía administrativa: 106 facturas con monto negativo (Factura_Negativa = True) permanecen marcadas sin imputación, al tratarse de dinero (dato sensible). Se recomienda auditar estos registros.</w:t>
      </w:r>
    </w:p>
    <w:p>
      <w:pPr>
        <w:spacing w:before="240" w:after="120" w:line="480" w:lineRule="auto"/>
        <w:ind w:firstLine="0"/>
        <w:jc w:val="center"/>
      </w:pPr>
      <w:r>
        <w:rPr>
          <w:rFonts w:ascii="Times New Roman" w:hAnsi="Times New Roman"/>
          <w:b/>
          <w:i w:val="0"/>
          <w:sz w:val="24"/>
        </w:rPr>
        <w:t>6. Anexos</w:t>
      </w:r>
    </w:p>
    <w:p>
      <w:pPr>
        <w:spacing w:before="160" w:after="120" w:line="480" w:lineRule="auto"/>
        <w:ind w:firstLine="0"/>
        <w:jc w:val="left"/>
      </w:pPr>
      <w:r>
        <w:rPr>
          <w:rFonts w:ascii="Times New Roman" w:hAnsi="Times New Roman"/>
          <w:b/>
          <w:i w:val="0"/>
          <w:sz w:val="24"/>
        </w:rPr>
        <w:t>Anexo A. Código principal utilizado en el análisis</w:t>
      </w:r>
    </w:p>
    <w:p>
      <w:pPr>
        <w:spacing w:line="480" w:lineRule="auto" w:after="0"/>
        <w:ind w:firstLine="0"/>
      </w:pPr>
      <w:r>
        <w:rPr>
          <w:rFonts w:ascii="Times New Roman" w:hAnsi="Times New Roman"/>
          <w:b/>
          <w:i w:val="0"/>
          <w:sz w:val="22"/>
        </w:rPr>
        <w:t>src/main.py</w:t>
      </w:r>
    </w:p>
    <w:p>
      <w:pPr>
        <w:spacing w:line="240" w:lineRule="auto" w:after="160"/>
        <w:ind w:firstLine="0"/>
      </w:pPr>
      <w:r>
        <w:rPr>
          <w:rFonts w:ascii="Consolas" w:hAnsi="Consolas"/>
          <w:sz w:val="18"/>
        </w:rPr>
        <w:t>from repositorios.cargador import CargadorDataset</w:t>
        <w:br/>
        <w:t>from servicios.calidad import Diagnosticador, AnalizadorOutliers, Validador</w:t>
        <w:br/>
        <w:t>from servicios.limpieza import MarcadorFacturasNegativas, NormalizadorTexto, TratadorDuplicados</w:t>
        <w:br/>
        <w:t>from utilidades.constantes import (</w:t>
        <w:br/>
        <w:t xml:space="preserve">    COLUMNAS_NUMERICAS,</w:t>
        <w:br/>
        <w:t xml:space="preserve">    COLUMNAS_TEXTO,</w:t>
        <w:br/>
        <w:t xml:space="preserve">    COLUMNA_FLAG_FACTURA_NEGATIVA,</w:t>
        <w:br/>
        <w:t xml:space="preserve">    ARCHIVO_CRUDO,</w:t>
        <w:br/>
        <w:t xml:space="preserve">    ARCHIVO_LIMPIO,</w:t>
        <w:br/>
        <w:t>)</w:t>
        <w:br/>
        <w:br/>
        <w:br/>
        <w:t>class PipelineLimpieza:</w:t>
        <w:br/>
        <w:t xml:space="preserve">    def __init__(self, archivoCrudo, archivoLimpio):</w:t>
        <w:br/>
        <w:t xml:space="preserve">        self.archivoCrudo = archivoCrudo</w:t>
        <w:br/>
        <w:t xml:space="preserve">        self.archivoLimpio = archivoLimpio</w:t>
        <w:br/>
        <w:t xml:space="preserve">        self.cargador = CargadorDataset(archivoCrudo)</w:t>
        <w:br/>
        <w:t xml:space="preserve">        self.diagnosticador = Diagnosticador(COLUMNAS_NUMERICAS, COLUMNA_FLAG_FACTURA_NEGATIVA)</w:t>
        <w:br/>
        <w:t xml:space="preserve">        self.tratadorDuplicados = TratadorDuplicados()</w:t>
        <w:br/>
        <w:t xml:space="preserve">        self.normalizadorTexto = NormalizadorTexto(COLUMNAS_TEXTO)</w:t>
        <w:br/>
        <w:t xml:space="preserve">        self.marcadorNegativas = MarcadorFacturasNegativas(COLUMNA_FLAG_FACTURA_NEGATIVA)</w:t>
        <w:br/>
        <w:t xml:space="preserve">        self.analizadorOutliers = AnalizadorOutliers(COLUMNAS_NUMERICAS, COLUMNA_FLAG_FACTURA_NEGATIVA)</w:t>
        <w:br/>
        <w:t xml:space="preserve">        self.validador = Validador(COLUMNA_FLAG_FACTURA_NEGATIVA)</w:t>
        <w:br/>
        <w:br/>
        <w:t xml:space="preserve">    def ejecutar(self):</w:t>
        <w:br/>
        <w:t xml:space="preserve">        df = self.cargador.cargar()</w:t>
        <w:br/>
        <w:t xml:space="preserve">        self.diagnosticador.diagnosticar(df, "Dataset crudo")</w:t>
        <w:br/>
        <w:t xml:space="preserve">        df = self.tratadorDuplicados.quitar(df)</w:t>
        <w:br/>
        <w:t xml:space="preserve">        df = self.normalizadorTexto.normalizar(df)</w:t>
        <w:br/>
        <w:t xml:space="preserve">        df = self.marcadorNegativas.marcar(df)</w:t>
        <w:br/>
        <w:t xml:space="preserve">        self.analizadorOutliers.revisarIQR(df)</w:t>
        <w:br/>
        <w:t xml:space="preserve">        self.diagnosticador.diagnosticar(df, "Dataset limpio")</w:t>
        <w:br/>
        <w:t xml:space="preserve">        self.validador.validar(df)</w:t>
        <w:br/>
        <w:t xml:space="preserve">        df.to_csv(self.archivoLimpio, index=False, float_format="%.2f")</w:t>
        <w:br/>
        <w:t xml:space="preserve">        print("Archivo guardado:", self.archivoLimpio)</w:t>
        <w:br/>
        <w:br/>
        <w:br/>
        <w:t>if __name__ == "__main__":</w:t>
        <w:br/>
        <w:t xml:space="preserve">    PipelineLimpieza(ARCHIVO_CRUDO, ARCHIVO_LIMPIO).ejecutar()</w:t>
      </w:r>
    </w:p>
    <w:p>
      <w:pPr>
        <w:spacing w:line="480" w:lineRule="auto" w:after="0"/>
        <w:ind w:firstLine="0"/>
      </w:pPr>
      <w:r>
        <w:rPr>
          <w:rFonts w:ascii="Times New Roman" w:hAnsi="Times New Roman"/>
          <w:b/>
          <w:i w:val="0"/>
          <w:sz w:val="22"/>
        </w:rPr>
        <w:t>src/servicios/limpieza.py</w:t>
      </w:r>
    </w:p>
    <w:p>
      <w:pPr>
        <w:spacing w:line="240" w:lineRule="auto" w:after="160"/>
        <w:ind w:firstLine="0"/>
      </w:pPr>
      <w:r>
        <w:rPr>
          <w:rFonts w:ascii="Consolas" w:hAnsi="Consolas"/>
          <w:sz w:val="18"/>
        </w:rPr>
        <w:t>class TratadorDuplicados:</w:t>
        <w:br/>
        <w:t xml:space="preserve">    def __init__(self):</w:t>
        <w:br/>
        <w:t xml:space="preserve">        pass</w:t>
        <w:br/>
        <w:br/>
        <w:t xml:space="preserve">    def quitar(self, df):</w:t>
        <w:br/>
        <w:t xml:space="preserve">        antes = len(df)</w:t>
        <w:br/>
        <w:t xml:space="preserve">        df = df.drop_duplicates().reset_index(drop=True)</w:t>
        <w:br/>
        <w:t xml:space="preserve">        print("Duplicados eliminados:", antes - len(df))</w:t>
        <w:br/>
        <w:t xml:space="preserve">        return df</w:t>
        <w:br/>
        <w:br/>
        <w:br/>
        <w:t>class NormalizadorTexto:</w:t>
        <w:br/>
        <w:t xml:space="preserve">    def __init__(self, columnasTexto):</w:t>
        <w:br/>
        <w:t xml:space="preserve">        self.columnasTexto = columnasTexto</w:t>
        <w:br/>
        <w:br/>
        <w:t xml:space="preserve">    def normalizar(self, df):</w:t>
        <w:br/>
        <w:t xml:space="preserve">        for columna in self.columnasTexto:</w:t>
        <w:br/>
        <w:t xml:space="preserve">            df[columna] = df[columna].str.strip().str.title()</w:t>
        <w:br/>
        <w:t xml:space="preserve">        return df</w:t>
        <w:br/>
        <w:br/>
        <w:br/>
        <w:t>class NormalizadorDrugs:</w:t>
        <w:br/>
        <w:t xml:space="preserve">    """Normaliza columnas de texto del catálogo de fármacos para facilitar el mapeo."""</w:t>
        <w:br/>
        <w:br/>
        <w:t xml:space="preserve">    COLUMNAS_TEXTO = [</w:t>
        <w:br/>
        <w:t xml:space="preserve">        "PROPRIETARYNAME",</w:t>
        <w:br/>
        <w:t xml:space="preserve">        "NONPROPRIETARYNAME",</w:t>
        <w:br/>
        <w:t xml:space="preserve">        "SUBSTANCENAME",</w:t>
        <w:br/>
        <w:t xml:space="preserve">        "PHARM_CLASSES",</w:t>
        <w:br/>
        <w:t xml:space="preserve">        "DOSAGEFORMNAME",</w:t>
        <w:br/>
        <w:t xml:space="preserve">        "ROUTENAME",</w:t>
        <w:br/>
        <w:t xml:space="preserve">        "MARKETINGCATEGORYNAME",</w:t>
        <w:br/>
        <w:t xml:space="preserve">        "PRODUCTTYPENAME",</w:t>
        <w:br/>
        <w:t xml:space="preserve">    ]</w:t>
        <w:br/>
        <w:br/>
        <w:t xml:space="preserve">    def normalizar(self, df):</w:t>
        <w:br/>
        <w:t xml:space="preserve">        for columna in self.COLUMNAS_TEXTO:</w:t>
        <w:br/>
        <w:t xml:space="preserve">            if columna in df.columns:</w:t>
        <w:br/>
        <w:t xml:space="preserve">                df[columna] = df[columna].astype("string").str.strip()</w:t>
        <w:br/>
        <w:t xml:space="preserve">        return df</w:t>
        <w:br/>
        <w:br/>
        <w:t>class MarcadorFacturasNegativas:</w:t>
        <w:br/>
        <w:t xml:space="preserve">    def __init__(self, columnaFlag):</w:t>
        <w:br/>
        <w:t xml:space="preserve">        self.columnaFlag = columnaFlag</w:t>
        <w:br/>
        <w:br/>
        <w:t xml:space="preserve">    def marcar(self, df):</w:t>
        <w:br/>
        <w:t xml:space="preserve">        negativos = df["Billing Amount"] &lt; 0</w:t>
        <w:br/>
        <w:t xml:space="preserve">        df[self.columnaFlag] = negativos</w:t>
        <w:br/>
        <w:t xml:space="preserve">        print("Facturas negativas marcadas:", int(negativos.sum()))</w:t>
        <w:br/>
        <w:t xml:space="preserve">        print("El monto original se conserva, no se imputa ningun valor.")</w:t>
        <w:br/>
        <w:t xml:space="preserve">        return df</w:t>
        <w:br/>
      </w:r>
    </w:p>
    <w:p>
      <w:pPr>
        <w:spacing w:line="480" w:lineRule="auto" w:after="0"/>
        <w:ind w:firstLine="0"/>
      </w:pPr>
      <w:r>
        <w:rPr>
          <w:rFonts w:ascii="Times New Roman" w:hAnsi="Times New Roman"/>
          <w:b/>
          <w:i w:val="0"/>
          <w:sz w:val="22"/>
        </w:rPr>
        <w:t>src/servicios/calidad.py</w:t>
      </w:r>
    </w:p>
    <w:p>
      <w:pPr>
        <w:spacing w:line="240" w:lineRule="auto" w:after="160"/>
        <w:ind w:firstLine="0"/>
      </w:pPr>
      <w:r>
        <w:rPr>
          <w:rFonts w:ascii="Consolas" w:hAnsi="Consolas"/>
          <w:sz w:val="18"/>
        </w:rPr>
        <w:t>class Diagnosticador:</w:t>
        <w:br/>
        <w:t xml:space="preserve">    def __init__(self, columnasNumericas, columnaFlag=None):</w:t>
        <w:br/>
        <w:t xml:space="preserve">        self.columnasNumericas = columnasNumericas</w:t>
        <w:br/>
        <w:t xml:space="preserve">        self.columnaFlag = columnaFlag</w:t>
        <w:br/>
        <w:br/>
        <w:t xml:space="preserve">    def diagnosticar(self, df, etiqueta):</w:t>
        <w:br/>
        <w:t xml:space="preserve">        print(f"=== {etiqueta} ===")</w:t>
        <w:br/>
        <w:t xml:space="preserve">        print("Filas:", len(df))</w:t>
        <w:br/>
        <w:t xml:space="preserve">        print("Duplicados:", df.duplicated().sum())</w:t>
        <w:br/>
        <w:t xml:space="preserve">        print("Nulos:", df.isna().sum().sum())</w:t>
        <w:br/>
        <w:t xml:space="preserve">        if self.columnaFlag is not None and self.columnaFlag in df.columns:</w:t>
        <w:br/>
        <w:t xml:space="preserve">            print("Facturas negativas marcadas:", int(df[self.columnaFlag].sum()))</w:t>
        <w:br/>
        <w:t xml:space="preserve">            df = df.loc[~df[self.columnaFlag]]</w:t>
        <w:br/>
        <w:t xml:space="preserve">        print(df[self.columnasNumericas].describe().round(2))</w:t>
        <w:br/>
        <w:br/>
        <w:br/>
        <w:t>class AnalizadorOutliers:</w:t>
        <w:br/>
        <w:t xml:space="preserve">    def __init__(self, columnasNumericas, columnaFlag=None):</w:t>
        <w:br/>
        <w:t xml:space="preserve">        self.columnasNumericas = columnasNumericas</w:t>
        <w:br/>
        <w:t xml:space="preserve">        self.columnaFlag = columnaFlag</w:t>
        <w:br/>
        <w:br/>
        <w:t xml:space="preserve">    def revisarIQR(self, df):</w:t>
        <w:br/>
        <w:t xml:space="preserve">        base = df</w:t>
        <w:br/>
        <w:t xml:space="preserve">        if self.columnaFlag is not None and self.columnaFlag in df.columns:</w:t>
        <w:br/>
        <w:t xml:space="preserve">            base = df.loc[~df[self.columnaFlag]]</w:t>
        <w:br/>
        <w:t xml:space="preserve">        for columna in self.columnasNumericas:</w:t>
        <w:br/>
        <w:t xml:space="preserve">            q1, q3 = base[columna].quantile([0.25, 0.75])</w:t>
        <w:br/>
        <w:t xml:space="preserve">            iqr = q3 - q1</w:t>
        <w:br/>
        <w:t xml:space="preserve">            limiteInferior = q1 - 1.5 * iqr</w:t>
        <w:br/>
        <w:t xml:space="preserve">            limiteSuperior = q3 + 1.5 * iqr</w:t>
        <w:br/>
        <w:t xml:space="preserve">            fuera = int(((base[columna] &lt; limiteInferior) | (base[columna] &gt; limiteSuperior)).sum())</w:t>
        <w:br/>
        <w:t xml:space="preserve">            print(f"{columna}: limites [{limiteInferior:.2f}, {limiteSuperior:.2f}], fuera de rango: {fuera}")</w:t>
        <w:br/>
        <w:br/>
        <w:br/>
        <w:t>class Validador:</w:t>
        <w:br/>
        <w:t xml:space="preserve">    def __init__(self, columnaFlag=None):</w:t>
        <w:br/>
        <w:t xml:space="preserve">        self.columnaFlag = columnaFlag</w:t>
        <w:br/>
        <w:br/>
        <w:t xml:space="preserve">    def validar(self, df):</w:t>
        <w:br/>
        <w:t xml:space="preserve">        print("Duplicados:", df.duplicated().sum())</w:t>
        <w:br/>
        <w:t xml:space="preserve">        print("Nulos:", df.isna().sum().sum())</w:t>
        <w:br/>
        <w:t xml:space="preserve">        negativos = int((df["Billing Amount"] &lt; 0).sum())</w:t>
        <w:br/>
        <w:t xml:space="preserve">        print("Facturas negativas:", negativos)</w:t>
        <w:br/>
        <w:t xml:space="preserve">        if self.columnaFlag is not None and self.columnaFlag in df.columns:</w:t>
        <w:br/>
        <w:t xml:space="preserve">            marcadas = int(df[self.columnaFlag].sum())</w:t>
        <w:br/>
        <w:t xml:space="preserve">            print("Todas marcadas:", marcadas == negativos)</w:t>
        <w:br/>
        <w:t xml:space="preserve">            print("Monto original conservado:", int((df.loc[df[self.columnaFlag], "Billing Amount"] &lt; 0).sum()) == negativos)</w:t>
        <w:br/>
        <w:t xml:space="preserve">        print("Edades fuera de rango:", int((~df["Age"].between(0, 120)).sum()))</w:t>
      </w:r>
    </w:p>
    <w:p>
      <w:pPr>
        <w:spacing w:line="480" w:lineRule="auto" w:after="0"/>
        <w:ind w:firstLine="0"/>
      </w:pPr>
      <w:r>
        <w:rPr>
          <w:rFonts w:ascii="Times New Roman" w:hAnsi="Times New Roman"/>
          <w:b/>
          <w:i w:val="0"/>
          <w:sz w:val="22"/>
        </w:rPr>
        <w:t>src/repositorios/cargador.py</w:t>
      </w:r>
    </w:p>
    <w:p>
      <w:pPr>
        <w:spacing w:line="240" w:lineRule="auto" w:after="160"/>
        <w:ind w:firstLine="0"/>
      </w:pPr>
      <w:r>
        <w:rPr>
          <w:rFonts w:ascii="Consolas" w:hAnsi="Consolas"/>
          <w:sz w:val="18"/>
        </w:rPr>
        <w:t>import pandas as pd</w:t>
        <w:br/>
        <w:br/>
        <w:br/>
        <w:t>class CargadorDataset:</w:t>
        <w:br/>
        <w:t xml:space="preserve">    def __init__(self, archivo, encoding=None):</w:t>
        <w:br/>
        <w:t xml:space="preserve">        self.archivo = archivo</w:t>
        <w:br/>
        <w:t xml:space="preserve">        self.encoding = encoding</w:t>
        <w:br/>
        <w:br/>
        <w:t xml:space="preserve">    def cargar(self):</w:t>
        <w:br/>
        <w:t xml:space="preserve">        if self.encoding:</w:t>
        <w:br/>
        <w:t xml:space="preserve">            return pd.read_csv(self.archivo, encoding=self.encoding)</w:t>
        <w:br/>
        <w:t xml:space="preserve">        return pd.read_csv(self.archivo)</w:t>
      </w:r>
    </w:p>
    <w:p>
      <w:pPr>
        <w:spacing w:line="480" w:lineRule="auto" w:after="0"/>
        <w:ind w:firstLine="0"/>
      </w:pPr>
      <w:r>
        <w:rPr>
          <w:rFonts w:ascii="Times New Roman" w:hAnsi="Times New Roman"/>
          <w:b/>
          <w:i w:val="0"/>
          <w:sz w:val="22"/>
        </w:rPr>
        <w:t>src/utilidades/constantes.py</w:t>
      </w:r>
    </w:p>
    <w:p>
      <w:pPr>
        <w:spacing w:line="240" w:lineRule="auto" w:after="160"/>
        <w:ind w:firstLine="0"/>
      </w:pPr>
      <w:r>
        <w:rPr>
          <w:rFonts w:ascii="Consolas" w:hAnsi="Consolas"/>
          <w:sz w:val="18"/>
        </w:rPr>
        <w:t>from pathlib import Path</w:t>
        <w:br/>
        <w:br/>
        <w:t>CARPETA_UTILIDADES = Path(__file__).resolve().parent</w:t>
        <w:br/>
        <w:t>CARPETA_CODIGO = CARPETA_UTILIDADES.parent</w:t>
        <w:br/>
        <w:t>CARPETA_PROYECTO = CARPETA_CODIGO.parent</w:t>
        <w:br/>
        <w:t>CARPETA_DATA = CARPETA_PROYECTO / "data"</w:t>
        <w:br/>
        <w:t>CARPETA_DATA.mkdir(parents=True, exist_ok=True)</w:t>
        <w:br/>
        <w:br/>
        <w:t>ARCHIVO_CRUDO = CARPETA_DATA / "healthcare_dataset_original.csv"</w:t>
        <w:br/>
        <w:t>ARCHIVO_LIMPIO = CARPETA_DATA / "healthcare_dataset_limpio.csv"</w:t>
        <w:br/>
        <w:t>ARCHIVO_TRANSFORMADO = CARPETA_DATA / "healthcare_dataset_transformado.csv"</w:t>
        <w:br/>
        <w:t>ARCHIVO_ENRIQUECIDO = CARPETA_DATA / "healthcare_dataset_enriquecido.csv"</w:t>
        <w:br/>
        <w:t>ARCHIVO_ANALISIS = CARPETA_DATA / "analisis_edad_medicamento.csv"</w:t>
        <w:br/>
        <w:br/>
        <w:t># Dataset de farmacos (catalogo) usado para el cruce</w:t>
        <w:br/>
        <w:t>ARCHIVO_DRUGS_PRODUCT = Path(</w:t>
        <w:br/>
        <w:t xml:space="preserve">    r"C:\Users\major\OneDrive\Documentos\manuel\Universidad\octavo semestre\mineria de datos\Proyecto healtcare\proyecto\data\raw\Drugs_product.csv"</w:t>
        <w:br/>
        <w:t>)</w:t>
        <w:br/>
        <w:t>ARCHIVO_DRUGS_LIMPIO = CARPETA_DATA / "drugs_product_limpio.csv"</w:t>
        <w:br/>
        <w:t>ARCHIVO_DRUGS_TRANSFORMADO = CARPETA_DATA / "drugs_product_transformado.csv"</w:t>
        <w:br/>
        <w:br/>
        <w:t>COLUMNAS_NUMERICAS = ["Age", "Billing Amount"]</w:t>
        <w:br/>
        <w:t>COLUMNAS_TEXTO = ["Name", "Doctor", "Hospital"]</w:t>
        <w:br/>
        <w:t>COLUMNA_FLAG_FACTURA_NEGATIVA = "Factura_Negativa"</w:t>
        <w:br/>
        <w:br/>
        <w:t># Mapeo: flag one-hot del healthcare -&gt; terminos de busqueda en Drugs_product</w:t>
        <w:br/>
        <w:t>MEDICAMENTOS_MAPEO = {</w:t>
        <w:br/>
        <w:t xml:space="preserve">    "Aspirin": ["aspirin", "acetylsalicylic"],</w:t>
        <w:br/>
        <w:t xml:space="preserve">    "Ibuprofen": ["ibuprofen"],</w:t>
        <w:br/>
        <w:t xml:space="preserve">    "Lipitor": ["lipitor", "atorvastatin"],</w:t>
        <w:br/>
        <w:t xml:space="preserve">    "Paracetamol": ["paracetamol", "acetaminophen"],</w:t>
        <w:br/>
        <w:t xml:space="preserve">    "Penicillin": ["penicillin"],</w:t>
        <w:br/>
        <w:t>}</w:t>
        <w:br/>
        <w:br/>
        <w:t>COLUMNAS_DRUGS = [</w:t>
        <w:br/>
        <w:t xml:space="preserve">    "SUBSTANCENAME",</w:t>
        <w:br/>
        <w:t xml:space="preserve">    "NONPROPRIETARYNAME",</w:t>
        <w:br/>
        <w:t xml:space="preserve">    "PHARM_CLASSES",</w:t>
        <w:br/>
        <w:t xml:space="preserve">    "DOSAGEFORMNAME",</w:t>
        <w:br/>
        <w:t xml:space="preserve">    "ROUTENAME",</w:t>
        <w:br/>
        <w:t xml:space="preserve">    "DEASCHEDULE",</w:t>
        <w:br/>
        <w:t xml:space="preserve">    "MARKETINGCATEGORYNAME",</w:t>
        <w:br/>
        <w:t xml:space="preserve">    "PRODUCTTYPENAME",</w:t>
        <w:br/>
        <w:t>]</w:t>
        <w:br/>
        <w:br/>
        <w:t>DRUGS_NOMINALES_ONEHOT = [</w:t>
        <w:br/>
        <w:t xml:space="preserve">    "PRODUCTTYPENAME",</w:t>
        <w:br/>
        <w:t xml:space="preserve">    "MARKETINGCATEGORYNAME",</w:t>
        <w:br/>
        <w:t>]</w:t>
      </w:r>
    </w:p>
    <w:p>
      <w:pPr>
        <w:spacing w:before="240" w:after="120" w:line="480" w:lineRule="auto"/>
        <w:ind w:firstLine="0"/>
        <w:jc w:val="center"/>
      </w:pPr>
      <w:r>
        <w:rPr>
          <w:rFonts w:ascii="Times New Roman" w:hAnsi="Times New Roman"/>
          <w:b/>
          <w:i w:val="0"/>
          <w:sz w:val="24"/>
        </w:rPr>
        <w:t>Referencias</w:t>
      </w:r>
    </w:p>
    <w:p>
      <w:pPr>
        <w:spacing w:line="480" w:lineRule="auto" w:after="0"/>
        <w:ind w:hanging="720" w:left="720"/>
      </w:pPr>
      <w:r>
        <w:rPr>
          <w:rFonts w:ascii="Times New Roman" w:hAnsi="Times New Roman"/>
          <w:sz w:val="24"/>
        </w:rPr>
        <w:t>Chapman, P., Clinton, J., Kerber, R., Khabaza, T., Reinartz, T., Shearer, C., &amp; Wirth, R. (2000). CRISP-DM 1.0: Step-by-step data mining guide. SPSS.</w:t>
      </w:r>
    </w:p>
    <w:p>
      <w:pPr>
        <w:spacing w:line="480" w:lineRule="auto" w:after="0"/>
        <w:ind w:hanging="720" w:left="720"/>
      </w:pPr>
      <w:r>
        <w:rPr>
          <w:rFonts w:ascii="Times New Roman" w:hAnsi="Times New Roman"/>
          <w:sz w:val="24"/>
        </w:rPr>
        <w:t>Han, J., Kamber, M., &amp; Pei, J. (2012). Data mining: Concepts and techniques (3.ª ed.). Elsevier.</w:t>
      </w:r>
    </w:p>
    <w:p>
      <w:pPr>
        <w:spacing w:line="480" w:lineRule="auto" w:after="0"/>
        <w:ind w:hanging="720" w:left="720"/>
      </w:pPr>
      <w:r>
        <w:rPr>
          <w:rFonts w:ascii="Times New Roman" w:hAnsi="Times New Roman"/>
          <w:sz w:val="24"/>
        </w:rPr>
        <w:t>prasad22. (2024). Healthcare dataset [Conjunto de datos]. Kaggle. https://www.kaggle.com/datasets/prasad22/healthcare-dataset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ind w:firstLine="7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